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color w:val="000000"/>
        </w:rPr>
      </w:pPr>
      <w:r>
        <w:rPr>
          <w:rFonts w:ascii="Arial" w:hAnsi="Arial" w:cs="Arial"/>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03/24</w:t>
      </w:r>
    </w:p>
    <w:p>
      <w:pPr>
        <w:jc w:val="both"/>
        <w:rPr>
          <w:rFonts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10</w:t>
      </w:r>
    </w:p>
    <w:p>
      <w:pPr>
        <w:jc w:val="both"/>
        <w:rPr>
          <w:rFonts w:ascii="Arial" w:hAnsi="Arial" w:cs="Arial"/>
          <w:b/>
          <w:bCs/>
          <w:color w:val="000000"/>
        </w:rPr>
      </w:pPr>
      <w:r>
        <w:rPr>
          <w:rFonts w:ascii="Arial" w:hAnsi="Arial" w:cs="Arial"/>
          <w:color w:val="000000"/>
        </w:rPr>
        <w:t xml:space="preserve">Mjesto i datum: </w:t>
      </w:r>
      <w:r>
        <w:rPr>
          <w:rFonts w:ascii="Arial" w:hAnsi="Arial" w:cs="Arial"/>
          <w:color w:val="000000"/>
          <w:lang w:val="sr-Latn-ME"/>
        </w:rPr>
        <w:t>05.02.2023</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03/23,011/23),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cs="Arial"/>
          <w:color w:val="000000"/>
          <w:lang w:val="sr-Latn-ME"/>
        </w:rPr>
      </w:pPr>
      <w:r>
        <w:rPr>
          <w:rFonts w:ascii="Arial" w:hAnsi="Arial" w:cs="Arial"/>
          <w:color w:val="000000"/>
        </w:rPr>
        <w:t xml:space="preserve">Za nabavku i isporuku robe </w:t>
      </w:r>
      <w:r>
        <w:rPr>
          <w:rFonts w:ascii="Arial" w:hAnsi="Arial" w:cs="Arial"/>
          <w:color w:val="000000"/>
          <w:lang w:val="sr-Latn-ME"/>
        </w:rPr>
        <w:t xml:space="preserve"> </w:t>
      </w:r>
      <w:r>
        <w:rPr>
          <w:rFonts w:ascii="Arial" w:hAnsi="Arial" w:cs="Arial"/>
          <w:color w:val="000000"/>
        </w:rPr>
        <w:t>-</w:t>
      </w:r>
      <w:r>
        <w:rPr>
          <w:rFonts w:ascii="Arial" w:hAnsi="Arial" w:cs="Arial"/>
          <w:color w:val="000000"/>
          <w:lang w:val="sr-Latn-ME"/>
        </w:rPr>
        <w:t xml:space="preserve"> bitumen</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lang w:val="sr-Latn-ME"/>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kao cjeline je </w:t>
      </w:r>
      <w:r>
        <w:rPr>
          <w:rFonts w:ascii="Arial" w:hAnsi="Arial" w:cs="Arial"/>
          <w:color w:val="000000"/>
          <w:sz w:val="22"/>
          <w:szCs w:val="22"/>
          <w:lang w:val="sr-Latn-ME"/>
        </w:rPr>
        <w:t>1.000.000,00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rPr>
        <w:t xml:space="preserve"> </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color w:val="000000"/>
        </w:rPr>
        <w:sym w:font="Wingdings" w:char="F078"/>
      </w:r>
      <w:r>
        <w:rPr>
          <w:rFonts w:ascii="Arial" w:hAnsi="Arial" w:cs="Arial"/>
          <w:color w:val="000000"/>
          <w:lang w:val="fr-FR"/>
        </w:rPr>
        <w:t xml:space="preserve"> </w:t>
      </w:r>
      <w:r>
        <w:rPr>
          <w:rFonts w:ascii="Arial" w:hAnsi="Arial" w:cs="Arial"/>
          <w:i/>
          <w:color w:val="000000"/>
          <w:lang w:val="fr-FR"/>
        </w:rPr>
        <w:t>rok isporuke robe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Napomena: Najniži ponuđeni rok ne može biti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sr-Latn-ME"/>
        </w:rPr>
      </w:pPr>
      <w:r>
        <w:rPr>
          <w:rFonts w:ascii="Arial" w:hAnsi="Arial" w:cs="Arial"/>
          <w:i/>
          <w:color w:val="000000"/>
          <w:lang w:val="sr-Latn-ME"/>
        </w:rPr>
        <w:t>Rok isporuke iskazuje se u satima.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ascii="Arial" w:hAnsi="Arial" w:cs="Arial"/>
          <w:b/>
          <w:color w:val="000000"/>
          <w:lang w:val="sr-Latn-ME"/>
        </w:rPr>
        <w:t>26.02</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 26.02.2024. godine u 10:00 sati.</w:t>
      </w:r>
    </w:p>
    <w:p>
      <w:pPr>
        <w:jc w:val="both"/>
        <w:rPr>
          <w:rFonts w:ascii="Arial" w:hAnsi="Arial" w:cs="Arial"/>
          <w:color w:val="000000"/>
        </w:rPr>
      </w:pPr>
      <w:r>
        <w:rPr>
          <w:rFonts w:ascii="Arial" w:hAnsi="Arial" w:cs="Arial"/>
          <w:color w:val="000000"/>
        </w:rPr>
        <w:t>Napomena: U skladu sa Zakonom o javnim nabavkama Izjava privrednog subjekta i garancija ponude podnose se u elektronskom obliku putem ESJN.</w:t>
      </w:r>
    </w:p>
    <w:p>
      <w:pPr>
        <w:jc w:val="both"/>
        <w:rPr>
          <w:rFonts w:ascii="Arial" w:hAnsi="Arial" w:cs="Arial"/>
          <w:color w:val="000000"/>
        </w:rPr>
      </w:pPr>
      <w:r>
        <w:rPr>
          <w:rFonts w:ascii="Arial" w:hAnsi="Arial" w:cs="Arial"/>
          <w:color w:val="000000"/>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jc w:val="both"/>
        <w:rPr>
          <w:rFonts w:ascii="Arial" w:hAnsi="Arial" w:cs="Arial"/>
          <w:color w:val="000000"/>
        </w:rPr>
      </w:pPr>
      <w:r>
        <w:rPr>
          <w:rFonts w:ascii="Arial" w:hAnsi="Arial" w:cs="Arial"/>
          <w:color w:val="000000"/>
        </w:rPr>
        <w:t>neposrednom podnošenjem na arhivi naručioca na adresi Zabjelo, Zetskih Vladara 1/14  Lamela A (Južna kapija grada).</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 preporučenom pošiljkom sa povratnicom na adresi Zabjelo, Zetskih Vladara 1/14  Lamela A (Južna kapija grada).</w:t>
      </w:r>
    </w:p>
    <w:p>
      <w:pPr>
        <w:jc w:val="both"/>
        <w:rPr>
          <w:rFonts w:ascii="Arial" w:hAnsi="Arial" w:cs="Arial"/>
          <w:color w:val="000000"/>
        </w:rPr>
      </w:pPr>
    </w:p>
    <w:p>
      <w:pPr>
        <w:jc w:val="both"/>
        <w:rPr>
          <w:rFonts w:ascii="Arial" w:hAnsi="Arial" w:cs="Arial"/>
          <w:color w:val="000000"/>
        </w:rPr>
      </w:pPr>
      <w:r>
        <w:rPr>
          <w:rFonts w:ascii="Arial" w:hAnsi="Arial" w:cs="Arial"/>
          <w:color w:val="000000"/>
        </w:rPr>
        <w:t>radnim danima od 8:00 do 16:00 sati, zaključno sa danom 26.02.2024. godine do 10:00 sati.</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Razlozi hitnosti za skraćenje roka za podnošenje ponuda:</w:t>
      </w:r>
    </w:p>
    <w:p>
      <w:pPr>
        <w:jc w:val="both"/>
        <w:rPr>
          <w:rFonts w:ascii="Arial" w:hAnsi="Arial" w:cs="Arial"/>
        </w:rPr>
      </w:pPr>
    </w:p>
    <w:p>
      <w:pPr>
        <w:jc w:val="both"/>
        <w:rPr>
          <w:rFonts w:ascii="Arial" w:hAnsi="Arial" w:cs="Arial"/>
          <w:lang w:val="sr-Latn-ME"/>
        </w:rPr>
      </w:pPr>
      <w:r>
        <w:rPr>
          <w:rFonts w:ascii="Arial" w:hAnsi="Arial" w:cs="Arial"/>
        </w:rPr>
        <w:t>Naručilac se opredijelio za skraćeni rok za dostavljanje ponuda</w:t>
      </w:r>
      <w:r>
        <w:rPr>
          <w:rFonts w:ascii="Arial" w:hAnsi="Arial" w:cs="Arial"/>
          <w:lang w:val="sr-Latn-ME"/>
        </w:rPr>
        <w:t xml:space="preserve"> iz sledećeg razloga:</w:t>
      </w:r>
    </w:p>
    <w:p>
      <w:pPr>
        <w:jc w:val="both"/>
        <w:rPr>
          <w:rFonts w:ascii="Arial" w:hAnsi="Arial" w:cs="Arial"/>
          <w:lang w:val="sr-Latn-ME"/>
        </w:rPr>
      </w:pPr>
      <w:r>
        <w:rPr>
          <w:rFonts w:ascii="Arial" w:hAnsi="Arial" w:cs="Arial"/>
          <w:color w:val="000000"/>
          <w:lang w:val="sr-Latn-ME"/>
        </w:rPr>
        <w:t xml:space="preserve">Imajući u vidu dinamiku izvođenja radova i preuzete poslove od javnog interesa (sanacija saobraćajnica, sanacija udarnih rupa na teritoriji Glavnog grada), a samim tim i potrošnju predmetne robe, a uzimajući u obzir potencijalni rok za odlučivanje u postupku i potpisivanje ugovora od minimum 60 dana od dana objavljivanja predmetnog poziva u slučaju objavljivanja istog prema redovnim rokovima od 30 dana, naručilac se opredijelio za skraćeni rok za podnošenje ponuda, </w:t>
      </w:r>
      <w:r>
        <w:rPr>
          <w:rFonts w:ascii="Arial" w:hAnsi="Arial" w:cs="Arial"/>
        </w:rPr>
        <w:t xml:space="preserve">a sve u </w:t>
      </w:r>
      <w:r>
        <w:rPr>
          <w:rFonts w:ascii="Arial" w:hAnsi="Arial" w:cs="Arial"/>
          <w:lang w:val="sr-Latn-ME"/>
        </w:rPr>
        <w:t xml:space="preserve">cilju </w:t>
      </w:r>
      <w:r>
        <w:rPr>
          <w:rFonts w:ascii="Arial" w:hAnsi="Arial" w:cs="Arial"/>
        </w:rPr>
        <w:t>obezbjeđivanja kontinuirane isporuke predmetne robe</w:t>
      </w:r>
      <w:r>
        <w:rPr>
          <w:rFonts w:ascii="Arial" w:hAnsi="Arial" w:cs="Arial"/>
          <w:lang w:val="sr-Latn-ME"/>
        </w:rPr>
        <w:t>,</w:t>
      </w:r>
      <w:r>
        <w:rPr>
          <w:rFonts w:ascii="Arial" w:hAnsi="Arial" w:cs="Arial"/>
        </w:rPr>
        <w:t xml:space="preserve"> radi obavljanja primarne djelatnosti </w:t>
      </w:r>
      <w:r>
        <w:rPr>
          <w:rFonts w:ascii="Arial" w:hAnsi="Arial" w:cs="Arial"/>
          <w:lang w:val="sr-Latn-ME"/>
        </w:rPr>
        <w:t>D</w:t>
      </w:r>
      <w:r>
        <w:rPr>
          <w:rFonts w:ascii="Arial" w:hAnsi="Arial" w:cs="Arial"/>
        </w:rPr>
        <w:t>ruštva.</w:t>
      </w:r>
      <w:r>
        <w:rPr>
          <w:rFonts w:ascii="Arial" w:hAnsi="Arial" w:cs="Arial"/>
          <w:lang w:val="sr-Latn-ME"/>
        </w:rPr>
        <w:t xml:space="preserve"> </w:t>
      </w:r>
    </w:p>
    <w:p>
      <w:pPr>
        <w:jc w:val="both"/>
        <w:rPr>
          <w:rFonts w:ascii="Arial" w:hAnsi="Arial"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PMingLiU" w:cs="Arial"/>
          <w:lang w:val="sr-Latn-CS"/>
        </w:rPr>
      </w:pPr>
      <w:r>
        <w:rPr>
          <w:rFonts w:ascii="Arial" w:hAnsi="Arial" w:eastAsia="PMingLiU" w:cs="Arial"/>
          <w:lang w:val="sr-Latn-CS"/>
        </w:rPr>
        <w:t>Izabrani ponuđač se obavezuje da plati ugovornu kaznu u visini 2‰ za svaki dan kašnjenja u isporuci robe, a najviše 5% od ukupne vrijednosti ugovorenog posla.</w:t>
      </w: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na koje se isporučuje, odstupa od ponuđenog iz ponude Dobavljača. </w:t>
      </w:r>
    </w:p>
    <w:p>
      <w:pPr>
        <w:jc w:val="both"/>
        <w:rPr>
          <w:rFonts w:ascii="Arial" w:hAnsi="Arial" w:eastAsia="Calibri" w:cs="Arial"/>
          <w:bCs/>
        </w:rPr>
      </w:pP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 Ukoliko se Dobavljač ne odazove pozivu Naručioca u roku od 48h, Naručilac ima pravo da raskine ugovor i aktivira garanciju za dobro izvršenje ugovora.</w:t>
      </w:r>
    </w:p>
    <w:p>
      <w:pPr>
        <w:jc w:val="both"/>
        <w:rPr>
          <w:rFonts w:ascii="Arial" w:hAnsi="Arial" w:cs="Arial"/>
          <w:b/>
          <w:bCs/>
          <w:color w:val="000000"/>
        </w:rPr>
      </w:pP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7"/>
        </w:numPr>
        <w:jc w:val="both"/>
        <w:rPr>
          <w:rFonts w:ascii="Arial" w:hAnsi="Arial" w:cs="Arial"/>
          <w:color w:val="000000"/>
          <w:lang w:val="sr-Latn-ME"/>
        </w:rPr>
      </w:pPr>
      <w:r>
        <w:rPr>
          <w:rFonts w:ascii="Arial" w:hAnsi="Arial" w:cs="Arial"/>
          <w:color w:val="000000"/>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lang w:val="sr-Latn-ME"/>
        </w:rPr>
        <w:t>2</w:t>
      </w:r>
      <w:r>
        <w:rPr>
          <w:rFonts w:ascii="Arial" w:hAnsi="Arial" w:cs="Arial" w:eastAsiaTheme="minorHAnsi"/>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lang w:val="sr-Latn-ME"/>
        </w:rPr>
        <w:t>3)</w:t>
      </w:r>
      <w:r>
        <w:rPr>
          <w:rFonts w:ascii="Arial" w:hAnsi="Arial" w:cs="Arial" w:eastAsiaTheme="minorHAnsi"/>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lang w:val="sr-Latn-ME"/>
        </w:rPr>
      </w:pPr>
      <w:r>
        <w:rPr>
          <w:rFonts w:ascii="Arial" w:hAnsi="Arial" w:cs="Arial"/>
        </w:rPr>
        <w:t>3</w:t>
      </w:r>
      <w:r>
        <w:rPr>
          <w:rFonts w:ascii="Arial" w:hAnsi="Arial" w:cs="Arial"/>
          <w:lang w:val="sr-Latn-ME"/>
        </w:rPr>
        <w:t xml:space="preserve"> a</w:t>
      </w:r>
      <w:r>
        <w:rPr>
          <w:rFonts w:ascii="Arial" w:hAnsi="Arial" w:cs="Arial"/>
        </w:rPr>
        <w:t xml:space="preserve">) kada je potreba za izmjenom ugovora nastala zbog okolnosti koje naručilac u vrijeme zaključivanja ugovora nije mogao da predvidi, a izmjenom se ne mijenja priroda ugovora </w:t>
      </w:r>
      <w:r>
        <w:rPr>
          <w:rFonts w:ascii="Arial" w:hAnsi="Arial" w:cs="Arial"/>
          <w:lang w:val="sr-Latn-ME"/>
        </w:rPr>
        <w:t>već se vrši samo smanjenje ugovorene vrijednosti.</w:t>
      </w:r>
    </w:p>
    <w:p>
      <w:pPr>
        <w:jc w:val="both"/>
        <w:rPr>
          <w:rFonts w:ascii="Arial" w:hAnsi="Arial" w:cs="Arial"/>
          <w:lang w:val="sr-Latn-ME"/>
        </w:rPr>
      </w:pPr>
      <w:r>
        <w:rPr>
          <w:rFonts w:ascii="Arial" w:hAnsi="Arial" w:cs="Arial"/>
          <w:lang w:val="sr-Latn-ME"/>
        </w:rPr>
        <w:t>3 b) kada se vrši zamjena podugovarača u skladu sa članom 128 st.10,11, i 12 Zakona.</w:t>
      </w:r>
    </w:p>
    <w:p>
      <w:pPr>
        <w:jc w:val="both"/>
        <w:rPr>
          <w:rFonts w:ascii="Arial" w:hAnsi="Arial" w:cs="Arial"/>
          <w:lang w:val="sr-Latn-ME"/>
        </w:rPr>
      </w:pPr>
    </w:p>
    <w:p>
      <w:pPr>
        <w:jc w:val="both"/>
        <w:rPr>
          <w:rFonts w:ascii="Arial" w:hAnsi="Arial" w:cs="Arial"/>
        </w:rPr>
      </w:pPr>
      <w:r>
        <w:rPr>
          <w:rFonts w:ascii="Arial" w:hAnsi="Arial" w:cs="Arial"/>
        </w:rPr>
        <w:t>4) ako privrednog subjekta nakon restrukturiranja, uključujući preuzimanje, spajanje, kupovinu ili stečaj,</w:t>
      </w:r>
      <w:r>
        <w:rPr>
          <w:rFonts w:ascii="Arial" w:hAnsi="Arial" w:cs="Arial"/>
          <w:lang w:val="sr-Latn-ME"/>
        </w:rPr>
        <w:t xml:space="preserve"> </w:t>
      </w:r>
      <w:r>
        <w:rPr>
          <w:rFonts w:ascii="Arial" w:hAnsi="Arial" w:cs="Arial"/>
        </w:rPr>
        <w:t>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Ugovor se zaključuje na period od 1 (jedne) godine ili dostizanja procijenjene vrijednosti javne nabavke, zavisno koji od uslova bude ranije ispunjen. U skladu sa članom 149 stav 13 Zakona o javnim nabavkama, ponuđena cijena tokom navedenog perioda definisaće se u skladu sa formulom za formiranje cijene bitumena za sedmicu koja prethodi sedmici utovara. Napomena: ostali troškovi za formiranje cijene iz obrasca strukture ponuđene cijene, tokom trajanja ugovora ostaju nepromenjivi. NAPOMENA ZA FORMIRANJE CIJENE PONUĐENE ROBE : Ukoliko za vrijeme trajanja ugovora dođe do promjene parametara koji utiču na cijenu bitumena (Kurs US dolara i prosječna srednja kotacijska cijena za ulje za loženje), pri čemu će se koristiti formula: prosječna srednja kotacijska cijena za ulje za loženje (1.0 PCT prema PCT Platts European Marketscan kotacijama na paritetu FOB Med Italy), za sedmicu koja prethodi sedmici utovara, ponuđač je dužan dostaviti: -Kurs US dolara: dokaz o kretanju prosječnog prodajnog kursa US dolara, što se dokazuje izvještajem dobijenim od strane</w:t>
      </w:r>
      <w:r>
        <w:rPr>
          <w:rFonts w:ascii="Arial" w:hAnsi="Arial" w:eastAsia="sans-serif" w:cs="Arial"/>
          <w:lang w:val="sr-Latn-ME"/>
        </w:rPr>
        <w:t xml:space="preserve"> Centralne banke Crne Gore ili</w:t>
      </w:r>
      <w:r>
        <w:rPr>
          <w:rFonts w:ascii="Arial" w:hAnsi="Arial" w:eastAsia="sans-serif" w:cs="Arial"/>
        </w:rPr>
        <w:t xml:space="preserve"> poslovne banke iz Crne Gore , za sedmicu koja prethodi sedmici utovara. -prosječna srednja kotacijska cijena za ulje za loženje (1.0 PCT prema PCT Platts European Marketscan kotacijama na paritetu FOB Med Italy), za sedmicu koja prethodi sedmici utovara.</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tbl>
      <w:tblPr>
        <w:tblStyle w:val="3"/>
        <w:tblpPr w:leftFromText="180" w:rightFromText="180" w:vertAnchor="page" w:horzAnchor="page" w:tblpX="1104" w:tblpY="2343"/>
        <w:tblOverlap w:val="never"/>
        <w:tblW w:w="8800" w:type="dxa"/>
        <w:tblInd w:w="0" w:type="dxa"/>
        <w:tblLayout w:type="fixed"/>
        <w:tblCellMar>
          <w:top w:w="0" w:type="dxa"/>
          <w:left w:w="70" w:type="dxa"/>
          <w:bottom w:w="0" w:type="dxa"/>
          <w:right w:w="70" w:type="dxa"/>
        </w:tblCellMar>
      </w:tblPr>
      <w:tblGrid>
        <w:gridCol w:w="630"/>
        <w:gridCol w:w="2410"/>
        <w:gridCol w:w="2746"/>
        <w:gridCol w:w="3014"/>
      </w:tblGrid>
      <w:tr>
        <w:tblPrEx>
          <w:tblCellMar>
            <w:top w:w="0" w:type="dxa"/>
            <w:left w:w="70" w:type="dxa"/>
            <w:bottom w:w="0" w:type="dxa"/>
            <w:right w:w="70" w:type="dxa"/>
          </w:tblCellMar>
        </w:tblPrEx>
        <w:trPr>
          <w:trHeight w:val="1127" w:hRule="atLeast"/>
        </w:trPr>
        <w:tc>
          <w:tcPr>
            <w:tcW w:w="8800" w:type="dxa"/>
            <w:gridSpan w:val="4"/>
            <w:tcBorders>
              <w:top w:val="single" w:color="auto" w:sz="8" w:space="0"/>
              <w:left w:val="single" w:color="auto" w:sz="8" w:space="0"/>
              <w:bottom w:val="single" w:color="auto" w:sz="8" w:space="0"/>
              <w:right w:val="single" w:color="auto" w:sz="8" w:space="0"/>
            </w:tcBorders>
            <w:shd w:val="clear" w:color="auto" w:fill="D9D9D9"/>
          </w:tcPr>
          <w:p>
            <w:pPr>
              <w:rPr>
                <w:rFonts w:ascii="Arial" w:hAnsi="Arial" w:cs="Arial"/>
                <w:b/>
                <w:bCs/>
                <w:color w:val="000000"/>
                <w:lang w:val="sr-Latn-ME" w:eastAsia="sr-Latn-CS"/>
              </w:rPr>
            </w:pPr>
          </w:p>
          <w:p>
            <w:pPr>
              <w:rPr>
                <w:rFonts w:ascii="Arial" w:hAnsi="Arial" w:cs="Arial"/>
                <w:b/>
                <w:bCs/>
                <w:color w:val="000000"/>
                <w:lang w:val="sr-Latn-ME" w:eastAsia="sr-Latn-CS"/>
              </w:rPr>
            </w:pPr>
            <w:r>
              <w:rPr>
                <w:rFonts w:ascii="Arial" w:hAnsi="Arial" w:cs="Arial"/>
                <w:b/>
                <w:bCs/>
                <w:color w:val="000000"/>
                <w:lang w:eastAsia="sr-Latn-CS"/>
              </w:rPr>
              <w:t>OBRAZAC STRUKTURE PONU</w:t>
            </w:r>
            <w:r>
              <w:rPr>
                <w:rFonts w:ascii="Arial" w:hAnsi="Arial" w:cs="Arial"/>
                <w:b/>
                <w:bCs/>
                <w:color w:val="000000"/>
                <w:lang w:val="sr-Latn-ME" w:eastAsia="sr-Latn-CS"/>
              </w:rPr>
              <w:t>ĐENE CIJENE BITUMENA 50/70  SA UPUTSTVOM ZA POPUNJAVAVANJE</w:t>
            </w:r>
          </w:p>
        </w:tc>
      </w:tr>
      <w:tr>
        <w:tblPrEx>
          <w:tblCellMar>
            <w:top w:w="0" w:type="dxa"/>
            <w:left w:w="70" w:type="dxa"/>
            <w:bottom w:w="0" w:type="dxa"/>
            <w:right w:w="70" w:type="dxa"/>
          </w:tblCellMar>
        </w:tblPrEx>
        <w:trPr>
          <w:trHeight w:val="1127" w:hRule="atLeast"/>
        </w:trPr>
        <w:tc>
          <w:tcPr>
            <w:tcW w:w="8800" w:type="dxa"/>
            <w:gridSpan w:val="4"/>
            <w:tcBorders>
              <w:top w:val="single" w:color="auto" w:sz="8" w:space="0"/>
              <w:left w:val="single" w:color="auto" w:sz="8" w:space="0"/>
              <w:bottom w:val="single" w:color="auto" w:sz="8" w:space="0"/>
              <w:right w:val="single" w:color="auto" w:sz="4" w:space="0"/>
            </w:tcBorders>
            <w:shd w:val="clear" w:color="auto" w:fill="D9D9D9"/>
            <w:vAlign w:val="center"/>
          </w:tcPr>
          <w:p>
            <w:pPr>
              <w:jc w:val="both"/>
              <w:rPr>
                <w:rFonts w:ascii="Arial" w:hAnsi="Arial" w:cs="Arial"/>
                <w:b/>
                <w:bCs/>
                <w:color w:val="000000"/>
                <w:lang w:val="sr-Latn-ME" w:eastAsia="sr-Latn-CS"/>
              </w:rPr>
            </w:pPr>
            <w:r>
              <w:rPr>
                <w:rFonts w:ascii="Arial" w:hAnsi="Arial" w:cs="Arial"/>
                <w:b/>
                <w:bCs/>
                <w:color w:val="000000"/>
                <w:lang w:eastAsia="sr-Latn-CS"/>
              </w:rPr>
              <w:t>P</w:t>
            </w:r>
            <w:r>
              <w:rPr>
                <w:rFonts w:ascii="Arial" w:hAnsi="Arial" w:cs="Arial"/>
                <w:b/>
                <w:bCs/>
                <w:color w:val="000000"/>
                <w:lang w:val="sr-Latn-CS" w:eastAsia="sr-Latn-CS"/>
              </w:rPr>
              <w:t>redmet nabavke</w:t>
            </w:r>
            <w:r>
              <w:rPr>
                <w:rFonts w:ascii="Arial" w:hAnsi="Arial" w:cs="Arial"/>
                <w:b/>
                <w:bCs/>
                <w:color w:val="000000"/>
                <w:lang w:val="sr-Latn-ME" w:eastAsia="sr-Latn-CS"/>
              </w:rPr>
              <w:t>: Bitumen tip/vrsta 50/70, DDP Asfaltna baza naručioca, Cijevna - Podgorica</w:t>
            </w:r>
          </w:p>
        </w:tc>
      </w:tr>
      <w:tr>
        <w:tblPrEx>
          <w:tblCellMar>
            <w:top w:w="0" w:type="dxa"/>
            <w:left w:w="70" w:type="dxa"/>
            <w:bottom w:w="0" w:type="dxa"/>
            <w:right w:w="70" w:type="dxa"/>
          </w:tblCellMar>
        </w:tblPrEx>
        <w:trPr>
          <w:trHeight w:val="1293" w:hRule="atLeast"/>
        </w:trPr>
        <w:tc>
          <w:tcPr>
            <w:tcW w:w="630" w:type="dxa"/>
            <w:tcBorders>
              <w:top w:val="single" w:color="auto" w:sz="8" w:space="0"/>
              <w:left w:val="single" w:color="auto" w:sz="8" w:space="0"/>
              <w:bottom w:val="single" w:color="auto" w:sz="8" w:space="0"/>
              <w:right w:val="single" w:color="auto" w:sz="8" w:space="0"/>
            </w:tcBorders>
            <w:shd w:val="clear" w:color="auto" w:fill="D9D9D9"/>
            <w:vAlign w:val="center"/>
          </w:tcPr>
          <w:p>
            <w:pPr>
              <w:jc w:val="center"/>
              <w:rPr>
                <w:rFonts w:ascii="Arial" w:hAnsi="Arial" w:cs="Arial"/>
                <w:b/>
                <w:bCs/>
                <w:color w:val="000000"/>
                <w:lang w:val="sr-Latn-ME" w:eastAsia="sr-Latn-CS"/>
              </w:rPr>
            </w:pPr>
            <w:r>
              <w:rPr>
                <w:rFonts w:ascii="Arial" w:hAnsi="Arial" w:cs="Arial"/>
                <w:b/>
                <w:bCs/>
                <w:color w:val="000000"/>
                <w:lang w:val="sr-Latn-ME" w:eastAsia="sr-Latn-CS"/>
              </w:rPr>
              <w:t>R.B.</w:t>
            </w:r>
          </w:p>
        </w:tc>
        <w:tc>
          <w:tcPr>
            <w:tcW w:w="2410" w:type="dxa"/>
            <w:tcBorders>
              <w:top w:val="single" w:color="auto" w:sz="8" w:space="0"/>
              <w:left w:val="nil"/>
              <w:bottom w:val="single" w:color="auto" w:sz="8" w:space="0"/>
              <w:right w:val="single" w:color="auto" w:sz="4" w:space="0"/>
            </w:tcBorders>
            <w:shd w:val="clear" w:color="auto" w:fill="D9D9D9"/>
            <w:vAlign w:val="center"/>
          </w:tcPr>
          <w:p>
            <w:pPr>
              <w:jc w:val="center"/>
              <w:rPr>
                <w:rFonts w:ascii="Arial" w:hAnsi="Arial" w:cs="Arial"/>
                <w:b/>
                <w:bCs/>
                <w:color w:val="000000"/>
                <w:lang w:val="sr-Latn-ME" w:eastAsia="sr-Latn-CS"/>
              </w:rPr>
            </w:pPr>
            <w:r>
              <w:rPr>
                <w:rFonts w:ascii="Arial" w:hAnsi="Arial" w:cs="Arial"/>
                <w:b/>
                <w:bCs/>
                <w:color w:val="000000"/>
                <w:lang w:val="sr-Latn-ME" w:eastAsia="sr-Latn-CS"/>
              </w:rPr>
              <w:t>Vrsta troškova</w:t>
            </w:r>
          </w:p>
        </w:tc>
        <w:tc>
          <w:tcPr>
            <w:tcW w:w="2746" w:type="dxa"/>
            <w:tcBorders>
              <w:top w:val="single" w:color="auto" w:sz="8" w:space="0"/>
              <w:left w:val="single" w:color="auto" w:sz="4" w:space="0"/>
              <w:bottom w:val="single" w:color="auto" w:sz="8" w:space="0"/>
              <w:right w:val="single" w:color="auto" w:sz="4" w:space="0"/>
            </w:tcBorders>
            <w:shd w:val="clear" w:color="auto" w:fill="D9D9D9"/>
            <w:vAlign w:val="center"/>
          </w:tcPr>
          <w:p>
            <w:pPr>
              <w:jc w:val="center"/>
              <w:rPr>
                <w:rFonts w:ascii="Arial" w:hAnsi="Arial" w:cs="Arial"/>
                <w:b/>
                <w:bCs/>
                <w:color w:val="000000"/>
                <w:lang w:val="sr-Latn-ME" w:eastAsia="sr-Latn-CS"/>
              </w:rPr>
            </w:pPr>
            <w:r>
              <w:rPr>
                <w:rFonts w:ascii="Arial" w:hAnsi="Arial" w:cs="Arial"/>
                <w:b/>
                <w:bCs/>
                <w:color w:val="000000"/>
                <w:lang w:val="sr-Latn-ME" w:eastAsia="sr-Latn-CS"/>
              </w:rPr>
              <w:t>Cijena po jedinici mjere bez PDV-a</w:t>
            </w:r>
          </w:p>
        </w:tc>
        <w:tc>
          <w:tcPr>
            <w:tcW w:w="3014" w:type="dxa"/>
            <w:tcBorders>
              <w:top w:val="single" w:color="auto" w:sz="8" w:space="0"/>
              <w:left w:val="single" w:color="auto" w:sz="4" w:space="0"/>
              <w:bottom w:val="single" w:color="auto" w:sz="8" w:space="0"/>
              <w:right w:val="single" w:color="auto" w:sz="4" w:space="0"/>
            </w:tcBorders>
            <w:shd w:val="clear" w:color="auto" w:fill="D9D9D9"/>
            <w:vAlign w:val="center"/>
          </w:tcPr>
          <w:p>
            <w:pPr>
              <w:jc w:val="center"/>
              <w:rPr>
                <w:rFonts w:ascii="Arial" w:hAnsi="Arial" w:cs="Arial"/>
                <w:b/>
                <w:bCs/>
                <w:color w:val="000000"/>
                <w:lang w:val="sr-Latn-ME" w:eastAsia="sr-Latn-CS"/>
              </w:rPr>
            </w:pPr>
            <w:r>
              <w:rPr>
                <w:rFonts w:ascii="Arial" w:hAnsi="Arial" w:cs="Arial"/>
                <w:b/>
                <w:bCs/>
                <w:color w:val="000000"/>
                <w:lang w:val="sr-Latn-ME" w:eastAsia="sr-Latn-CS"/>
              </w:rPr>
              <w:t xml:space="preserve"> Cijena po jedinici mjere sa PDV-om</w:t>
            </w:r>
          </w:p>
        </w:tc>
      </w:tr>
      <w:tr>
        <w:tblPrEx>
          <w:tblCellMar>
            <w:top w:w="0" w:type="dxa"/>
            <w:left w:w="108" w:type="dxa"/>
            <w:bottom w:w="0" w:type="dxa"/>
            <w:right w:w="108" w:type="dxa"/>
          </w:tblCellMar>
        </w:tblPrEx>
        <w:trPr>
          <w:trHeight w:val="623" w:hRule="atLeast"/>
        </w:trPr>
        <w:tc>
          <w:tcPr>
            <w:tcW w:w="630" w:type="dxa"/>
            <w:tcBorders>
              <w:top w:val="single" w:color="auto" w:sz="8" w:space="0"/>
              <w:left w:val="single" w:color="auto" w:sz="4" w:space="0"/>
              <w:bottom w:val="single" w:color="auto" w:sz="4" w:space="0"/>
              <w:right w:val="single" w:color="auto" w:sz="4" w:space="0"/>
            </w:tcBorders>
            <w:vAlign w:val="center"/>
          </w:tcPr>
          <w:p>
            <w:pPr>
              <w:jc w:val="center"/>
              <w:rPr>
                <w:rFonts w:ascii="Arial" w:hAnsi="Arial" w:cs="Arial"/>
                <w:color w:val="000000"/>
              </w:rPr>
            </w:pPr>
            <w:r>
              <w:rPr>
                <w:rFonts w:ascii="Arial" w:hAnsi="Arial" w:cs="Arial"/>
                <w:color w:val="000000"/>
              </w:rPr>
              <w:t>1</w:t>
            </w:r>
          </w:p>
        </w:tc>
        <w:tc>
          <w:tcPr>
            <w:tcW w:w="2410" w:type="dxa"/>
            <w:tcBorders>
              <w:top w:val="single" w:color="auto" w:sz="8" w:space="0"/>
              <w:left w:val="nil"/>
              <w:bottom w:val="single" w:color="auto" w:sz="4" w:space="0"/>
              <w:right w:val="single" w:color="auto" w:sz="4" w:space="0"/>
            </w:tcBorders>
            <w:vAlign w:val="center"/>
          </w:tcPr>
          <w:p>
            <w:pPr>
              <w:textAlignment w:val="center"/>
              <w:rPr>
                <w:rFonts w:ascii="Arial" w:hAnsi="Arial" w:cs="Arial"/>
                <w:color w:val="000000"/>
                <w:lang w:val="sr-Latn-ME"/>
              </w:rPr>
            </w:pPr>
            <w:r>
              <w:rPr>
                <w:rFonts w:ascii="Arial" w:hAnsi="Arial" w:cs="Arial"/>
                <w:color w:val="000000"/>
                <w:lang w:val="sr-Latn-ME"/>
              </w:rPr>
              <w:t>Prosječna srednja kotacijska cijena za ulje za loženje (</w:t>
            </w:r>
            <w:r>
              <w:rPr>
                <w:rFonts w:ascii="Arial" w:hAnsi="Arial" w:cs="Arial"/>
                <w:color w:val="000000"/>
              </w:rPr>
              <w:t>1.0</w:t>
            </w:r>
            <w:r>
              <w:rPr>
                <w:rFonts w:ascii="Arial" w:hAnsi="Arial" w:cs="Arial"/>
                <w:color w:val="000000"/>
                <w:lang w:val="sr-Latn-ME"/>
              </w:rPr>
              <w:t xml:space="preserve"> PCT prema PCT Platts European Marketscan kotacijama na paritetu FOB Med Italy), za period od 19.02.-23.02.2024. godine, obračunata po prosječnom prodajnom kursu USD, za period od 19.02.-23.02.2024. godine.</w:t>
            </w:r>
          </w:p>
        </w:tc>
        <w:tc>
          <w:tcPr>
            <w:tcW w:w="2746" w:type="dxa"/>
            <w:tcBorders>
              <w:top w:val="single" w:color="auto" w:sz="8" w:space="0"/>
              <w:left w:val="nil"/>
              <w:bottom w:val="single" w:color="auto" w:sz="4" w:space="0"/>
              <w:right w:val="single" w:color="auto" w:sz="4" w:space="0"/>
            </w:tcBorders>
            <w:vAlign w:val="center"/>
          </w:tcPr>
          <w:p>
            <w:pPr>
              <w:jc w:val="center"/>
              <w:textAlignment w:val="center"/>
              <w:rPr>
                <w:rFonts w:ascii="Arial" w:hAnsi="Arial" w:cs="Arial"/>
                <w:color w:val="000000"/>
              </w:rPr>
            </w:pPr>
          </w:p>
        </w:tc>
        <w:tc>
          <w:tcPr>
            <w:tcW w:w="3014" w:type="dxa"/>
            <w:tcBorders>
              <w:top w:val="single" w:color="auto" w:sz="8" w:space="0"/>
              <w:left w:val="nil"/>
              <w:bottom w:val="single" w:color="auto" w:sz="4" w:space="0"/>
              <w:right w:val="single" w:color="auto" w:sz="4" w:space="0"/>
            </w:tcBorders>
            <w:vAlign w:val="center"/>
          </w:tcPr>
          <w:p>
            <w:pPr>
              <w:jc w:val="center"/>
              <w:rPr>
                <w:rFonts w:ascii="Arial" w:hAnsi="Arial" w:cs="Arial"/>
                <w:color w:val="000000"/>
              </w:rPr>
            </w:pPr>
          </w:p>
        </w:tc>
      </w:tr>
      <w:tr>
        <w:tblPrEx>
          <w:tblCellMar>
            <w:top w:w="0" w:type="dxa"/>
            <w:left w:w="108" w:type="dxa"/>
            <w:bottom w:w="0" w:type="dxa"/>
            <w:right w:w="108" w:type="dxa"/>
          </w:tblCellMar>
        </w:tblPrEx>
        <w:trPr>
          <w:trHeight w:val="623"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lang w:val="sr-Latn-ME"/>
              </w:rPr>
            </w:pPr>
            <w:r>
              <w:rPr>
                <w:rFonts w:ascii="Arial" w:hAnsi="Arial" w:cs="Arial"/>
                <w:color w:val="000000"/>
                <w:lang w:val="sr-Latn-ME"/>
              </w:rPr>
              <w:t>2</w:t>
            </w:r>
          </w:p>
        </w:tc>
        <w:tc>
          <w:tcPr>
            <w:tcW w:w="2410" w:type="dxa"/>
            <w:tcBorders>
              <w:top w:val="single" w:color="auto" w:sz="4" w:space="0"/>
              <w:left w:val="nil"/>
              <w:bottom w:val="single" w:color="auto" w:sz="4" w:space="0"/>
              <w:right w:val="single" w:color="auto" w:sz="4" w:space="0"/>
            </w:tcBorders>
            <w:vAlign w:val="center"/>
          </w:tcPr>
          <w:p>
            <w:pPr>
              <w:textAlignment w:val="center"/>
              <w:rPr>
                <w:rFonts w:ascii="Arial" w:hAnsi="Arial" w:cs="Arial"/>
                <w:color w:val="000000"/>
                <w:lang w:val="sr-Latn-ME"/>
              </w:rPr>
            </w:pPr>
            <w:r>
              <w:rPr>
                <w:rFonts w:ascii="Arial" w:hAnsi="Arial" w:cs="Arial"/>
                <w:color w:val="000000"/>
                <w:lang w:val="sr-Latn-ME"/>
              </w:rPr>
              <w:t>Ostali troškovi</w:t>
            </w:r>
          </w:p>
        </w:tc>
        <w:tc>
          <w:tcPr>
            <w:tcW w:w="2746" w:type="dxa"/>
            <w:tcBorders>
              <w:top w:val="single" w:color="auto" w:sz="4" w:space="0"/>
              <w:left w:val="nil"/>
              <w:bottom w:val="single" w:color="auto" w:sz="4" w:space="0"/>
              <w:right w:val="single" w:color="auto" w:sz="4" w:space="0"/>
            </w:tcBorders>
            <w:vAlign w:val="center"/>
          </w:tcPr>
          <w:p>
            <w:pPr>
              <w:jc w:val="center"/>
              <w:textAlignment w:val="center"/>
              <w:rPr>
                <w:rFonts w:ascii="Arial" w:hAnsi="Arial" w:cs="Arial"/>
                <w:color w:val="000000"/>
              </w:rPr>
            </w:pPr>
          </w:p>
        </w:tc>
        <w:tc>
          <w:tcPr>
            <w:tcW w:w="3014" w:type="dxa"/>
            <w:tcBorders>
              <w:top w:val="single" w:color="auto" w:sz="4" w:space="0"/>
              <w:left w:val="nil"/>
              <w:bottom w:val="single" w:color="auto" w:sz="4" w:space="0"/>
              <w:right w:val="single" w:color="auto" w:sz="4" w:space="0"/>
            </w:tcBorders>
          </w:tcPr>
          <w:p>
            <w:pPr>
              <w:jc w:val="center"/>
              <w:rPr>
                <w:rFonts w:ascii="Arial" w:hAnsi="Arial" w:cs="Arial"/>
                <w:color w:val="000000"/>
              </w:rPr>
            </w:pPr>
          </w:p>
        </w:tc>
      </w:tr>
      <w:tr>
        <w:tblPrEx>
          <w:tblCellMar>
            <w:top w:w="0" w:type="dxa"/>
            <w:left w:w="108" w:type="dxa"/>
            <w:bottom w:w="0" w:type="dxa"/>
            <w:right w:w="108" w:type="dxa"/>
          </w:tblCellMar>
        </w:tblPrEx>
        <w:trPr>
          <w:trHeight w:val="623" w:hRule="atLeast"/>
        </w:trPr>
        <w:tc>
          <w:tcPr>
            <w:tcW w:w="3040" w:type="dxa"/>
            <w:gridSpan w:val="2"/>
            <w:tcBorders>
              <w:top w:val="single" w:color="auto" w:sz="4" w:space="0"/>
              <w:left w:val="single" w:color="auto" w:sz="4" w:space="0"/>
              <w:bottom w:val="single" w:color="auto" w:sz="4" w:space="0"/>
              <w:right w:val="single" w:color="auto" w:sz="4" w:space="0"/>
            </w:tcBorders>
          </w:tcPr>
          <w:p>
            <w:pPr>
              <w:textAlignment w:val="center"/>
              <w:rPr>
                <w:rFonts w:ascii="Arial" w:hAnsi="Arial" w:cs="Arial"/>
                <w:color w:val="000000"/>
                <w:lang w:val="sr-Latn-ME"/>
              </w:rPr>
            </w:pPr>
            <w:r>
              <w:rPr>
                <w:rFonts w:ascii="Arial" w:hAnsi="Arial" w:cs="Arial"/>
                <w:color w:val="000000"/>
                <w:lang w:val="sr-Latn-ME"/>
              </w:rPr>
              <w:t>Cijena po jednoj toni bitumena sa svim uračunatim troškovima navedenim u tabeli:</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Arial" w:hAnsi="Arial" w:cs="Arial"/>
                <w:color w:val="000000"/>
                <w:lang w:val="sr-Latn-ME"/>
              </w:rPr>
            </w:pPr>
          </w:p>
        </w:tc>
        <w:tc>
          <w:tcPr>
            <w:tcW w:w="3014" w:type="dxa"/>
            <w:tcBorders>
              <w:top w:val="single" w:color="auto" w:sz="4" w:space="0"/>
              <w:left w:val="nil"/>
              <w:bottom w:val="single" w:color="auto" w:sz="4" w:space="0"/>
              <w:right w:val="single" w:color="auto" w:sz="4" w:space="0"/>
            </w:tcBorders>
          </w:tcPr>
          <w:p>
            <w:pPr>
              <w:jc w:val="center"/>
              <w:rPr>
                <w:rFonts w:ascii="Arial" w:hAnsi="Arial" w:cs="Arial"/>
              </w:rPr>
            </w:pPr>
          </w:p>
        </w:tc>
      </w:tr>
    </w:tbl>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t xml:space="preserve">                                                                           Ovla</w:t>
      </w:r>
      <w:r>
        <w:rPr>
          <w:rFonts w:ascii="Arial" w:hAnsi="Arial" w:cs="Arial"/>
          <w:color w:val="000000"/>
          <w:lang w:val="sr-Latn-ME"/>
        </w:rPr>
        <w:t>šćeno lice ponuđača:</w:t>
      </w:r>
    </w:p>
    <w:p>
      <w:pPr>
        <w:jc w:val="both"/>
        <w:rPr>
          <w:rFonts w:ascii="Arial" w:hAnsi="Arial" w:cs="Arial"/>
          <w:color w:val="000000"/>
          <w:lang w:val="sr-Latn-ME"/>
        </w:rPr>
      </w:pPr>
      <w:r>
        <w:rPr>
          <w:rFonts w:ascii="Arial" w:hAnsi="Arial" w:cs="Arial"/>
          <w:color w:val="000000"/>
          <w:lang w:val="sr-Latn-ME"/>
        </w:rPr>
        <w:t xml:space="preserve">                                               M.P.</w:t>
      </w:r>
    </w:p>
    <w:p>
      <w:pPr>
        <w:spacing w:line="259" w:lineRule="auto"/>
        <w:rPr>
          <w:rFonts w:ascii="Arial" w:hAnsi="Arial" w:eastAsia="sans-serif" w:cs="Arial"/>
        </w:rPr>
      </w:pPr>
      <w:r>
        <w:rPr>
          <w:rFonts w:ascii="Arial" w:hAnsi="Arial" w:cs="Arial"/>
          <w:color w:val="000000"/>
          <w:lang w:val="sr-Latn-ME"/>
        </w:rPr>
        <w:t xml:space="preserve">                                                                         </w:t>
      </w:r>
      <w:r>
        <w:rPr>
          <w:b/>
        </w:rPr>
        <w:t xml:space="preserve"> _________________________ </w:t>
      </w:r>
    </w:p>
    <w:p>
      <w:pPr>
        <w:jc w:val="both"/>
        <w:rPr>
          <w:rFonts w:ascii="Arial" w:hAnsi="Arial" w:eastAsia="sans-serif" w:cs="Arial"/>
        </w:rPr>
      </w:pPr>
    </w:p>
    <w:p>
      <w:pPr>
        <w:keepNext/>
        <w:keepLines/>
        <w:numPr>
          <w:ilvl w:val="0"/>
          <w:numId w:val="8"/>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8"/>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416180136"/>
      <w:bookmarkStart w:id="15" w:name="_Toc508349235"/>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ascii="Arial" w:hAnsi="Arial" w:cs="Arial"/>
          <w:color w:val="000000"/>
          <w:sz w:val="22"/>
          <w:szCs w:val="22"/>
          <w:lang w:val="sr-Latn-ME"/>
        </w:rPr>
      </w:pPr>
      <w:r>
        <w:rPr>
          <w:rFonts w:ascii="Arial" w:hAnsi="Arial" w:cs="Arial"/>
          <w:color w:val="000000"/>
          <w:sz w:val="22"/>
          <w:szCs w:val="22"/>
        </w:rPr>
        <w:t>Broj: 830</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 05.02.2024.godine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tabs>
          <w:tab w:val="left" w:pos="3290"/>
        </w:tabs>
        <w:jc w:val="both"/>
        <w:rPr>
          <w:rFonts w:asciiTheme="minorHAnsi" w:hAnsiTheme="minorHAnsi" w:cstheme="minorHAnsi"/>
          <w:b/>
          <w:bCs/>
          <w:color w:val="000000"/>
          <w:sz w:val="22"/>
          <w:szCs w:val="22"/>
        </w:rPr>
      </w:pPr>
      <w:r>
        <w:rPr>
          <w:rFonts w:ascii="Arial" w:hAnsi="Arial" w:cs="Arial"/>
          <w:color w:val="000000"/>
          <w:sz w:val="22"/>
          <w:szCs w:val="22"/>
        </w:rPr>
        <w:t>da u postupku javne nabavke redni broj 10 iz Plana javn</w:t>
      </w:r>
      <w:r>
        <w:rPr>
          <w:rFonts w:ascii="Arial" w:hAnsi="Arial" w:cs="Arial"/>
          <w:color w:val="000000"/>
          <w:sz w:val="22"/>
          <w:szCs w:val="22"/>
          <w:lang w:val="sr-Latn-ME"/>
        </w:rPr>
        <w:t>ih</w:t>
      </w:r>
      <w:r>
        <w:rPr>
          <w:rFonts w:ascii="Arial" w:hAnsi="Arial" w:cs="Arial"/>
          <w:color w:val="000000"/>
          <w:sz w:val="22"/>
          <w:szCs w:val="22"/>
        </w:rPr>
        <w:t xml:space="preserve"> nabavk</w:t>
      </w:r>
      <w:r>
        <w:rPr>
          <w:rFonts w:ascii="Arial" w:hAnsi="Arial" w:cs="Arial"/>
          <w:color w:val="000000"/>
          <w:sz w:val="22"/>
          <w:szCs w:val="22"/>
          <w:lang w:val="sr-Latn-ME"/>
        </w:rPr>
        <w:t>i</w:t>
      </w:r>
      <w:r>
        <w:rPr>
          <w:rFonts w:ascii="Arial" w:hAnsi="Arial" w:cs="Arial"/>
          <w:color w:val="000000"/>
          <w:sz w:val="22"/>
          <w:szCs w:val="22"/>
        </w:rPr>
        <w:t xml:space="preserve"> </w:t>
      </w:r>
      <w:r>
        <w:rPr>
          <w:rFonts w:ascii="Arial" w:hAnsi="Arial" w:cs="Arial"/>
          <w:sz w:val="22"/>
          <w:szCs w:val="22"/>
        </w:rPr>
        <w:t>br.</w:t>
      </w:r>
      <w:r>
        <w:rPr>
          <w:rFonts w:ascii="Arial" w:hAnsi="Arial" w:cs="Arial"/>
          <w:sz w:val="22"/>
          <w:szCs w:val="22"/>
          <w:lang w:val="sr-Latn-ME"/>
        </w:rPr>
        <w:t xml:space="preserve"> 18362,</w:t>
      </w:r>
      <w:r>
        <w:rPr>
          <w:rFonts w:ascii="Arial" w:hAnsi="Arial" w:cs="Arial"/>
          <w:sz w:val="22"/>
          <w:szCs w:val="22"/>
          <w:lang w:val="pl-PL"/>
        </w:rPr>
        <w:t xml:space="preserve"> objavljenog na portalu  </w:t>
      </w:r>
      <w:r>
        <w:rPr>
          <w:rFonts w:ascii="Arial" w:hAnsi="Arial" w:cs="Arial"/>
          <w:sz w:val="22"/>
          <w:szCs w:val="22"/>
          <w:lang w:val="sr-Latn-ME"/>
        </w:rPr>
        <w:t>Direktorata za politiku javnih nabavki,</w:t>
      </w:r>
      <w:r>
        <w:rPr>
          <w:rFonts w:ascii="Arial" w:hAnsi="Arial" w:cs="Arial"/>
          <w:sz w:val="22"/>
          <w:szCs w:val="22"/>
          <w:lang w:val="pl-PL"/>
        </w:rPr>
        <w:t xml:space="preserve"> dana </w:t>
      </w:r>
      <w:r>
        <w:rPr>
          <w:rFonts w:ascii="Arial" w:hAnsi="Arial" w:cs="Arial"/>
          <w:sz w:val="22"/>
          <w:szCs w:val="22"/>
          <w:lang w:val="sr-Latn-ME"/>
        </w:rPr>
        <w:t>24</w:t>
      </w:r>
      <w:r>
        <w:rPr>
          <w:rFonts w:ascii="Arial" w:hAnsi="Arial" w:cs="Arial"/>
          <w:sz w:val="22"/>
          <w:szCs w:val="22"/>
          <w:lang w:val="pl-PL"/>
        </w:rPr>
        <w:t>.</w:t>
      </w:r>
      <w:r>
        <w:rPr>
          <w:rFonts w:ascii="Arial" w:hAnsi="Arial" w:cs="Arial"/>
          <w:sz w:val="22"/>
          <w:szCs w:val="22"/>
        </w:rPr>
        <w:t xml:space="preserve"> </w:t>
      </w:r>
      <w:r>
        <w:rPr>
          <w:rFonts w:ascii="Arial" w:hAnsi="Arial" w:cs="Arial"/>
          <w:sz w:val="22"/>
          <w:szCs w:val="22"/>
          <w:lang w:val="sr-Latn-ME"/>
        </w:rPr>
        <w:t xml:space="preserve">Januara </w:t>
      </w:r>
      <w:r>
        <w:rPr>
          <w:rFonts w:ascii="Arial" w:hAnsi="Arial" w:cs="Arial"/>
          <w:sz w:val="22"/>
          <w:szCs w:val="22"/>
          <w:lang w:val="pl-PL"/>
        </w:rPr>
        <w:t>20</w:t>
      </w:r>
      <w:r>
        <w:rPr>
          <w:rFonts w:ascii="Arial" w:hAnsi="Arial" w:cs="Arial"/>
          <w:sz w:val="22"/>
          <w:szCs w:val="22"/>
          <w:lang w:val="sr-Latn-ME"/>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lang w:val="sr-Latn-ME"/>
        </w:rPr>
        <w:t xml:space="preserve"> </w:t>
      </w:r>
      <w:r>
        <w:rPr>
          <w:rFonts w:ascii="Arial" w:hAnsi="Arial" w:cs="Arial"/>
          <w:sz w:val="22"/>
          <w:szCs w:val="22"/>
        </w:rPr>
        <w:t xml:space="preserve">pod brojem </w:t>
      </w:r>
      <w:r>
        <w:rPr>
          <w:rFonts w:ascii="Arial" w:hAnsi="Arial" w:cs="Arial"/>
          <w:sz w:val="22"/>
          <w:szCs w:val="22"/>
          <w:lang w:val="sr-Latn-ME"/>
        </w:rPr>
        <w:t>301</w:t>
      </w:r>
      <w:r>
        <w:rPr>
          <w:rFonts w:ascii="Arial" w:hAnsi="Arial" w:cs="Arial"/>
          <w:sz w:val="22"/>
          <w:szCs w:val="22"/>
        </w:rPr>
        <w:t>,</w:t>
      </w:r>
      <w:r>
        <w:rPr>
          <w:rFonts w:ascii="Arial" w:hAnsi="Arial" w:cs="Arial"/>
          <w:color w:val="000000"/>
          <w:sz w:val="22"/>
          <w:szCs w:val="22"/>
        </w:rPr>
        <w:t xml:space="preserve"> za nabavku </w:t>
      </w:r>
      <w:r>
        <w:rPr>
          <w:rFonts w:ascii="Arial" w:hAnsi="Arial" w:cs="Arial"/>
          <w:color w:val="000000"/>
          <w:sz w:val="22"/>
          <w:szCs w:val="22"/>
          <w:lang w:val="sr-Latn-ME"/>
        </w:rPr>
        <w:t>i isporuku robe  - bitumen,</w:t>
      </w:r>
      <w:r>
        <w:rPr>
          <w:rFonts w:ascii="Arial" w:hAnsi="Arial" w:cs="Arial"/>
          <w:color w:val="000000"/>
          <w:sz w:val="22"/>
          <w:szCs w:val="22"/>
        </w:rPr>
        <w:t xml:space="preserve"> 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Theme="minorHAnsi" w:hAnsiTheme="minorHAnsi" w:cstheme="minorHAnsi"/>
          <w:b/>
          <w:bCs/>
          <w:color w:val="000000"/>
          <w:sz w:val="22"/>
          <w:szCs w:val="22"/>
        </w:rPr>
      </w:pPr>
    </w:p>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 xml:space="preserve">   Ovlašćeno lice naručioca </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Izvršni direktor</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Radoš Zečević, dipl.pravnik.</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w:t>
      </w:r>
    </w:p>
    <w:p>
      <w:pPr>
        <w:tabs>
          <w:tab w:val="left" w:pos="3290"/>
        </w:tabs>
        <w:ind w:left="5664" w:firstLine="708"/>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ind w:firstLine="1134"/>
        <w:jc w:val="right"/>
        <w:rPr>
          <w:rFonts w:eastAsia="Calibri" w:asciiTheme="minorHAnsi" w:hAnsiTheme="minorHAnsi" w:cstheme="minorHAnsi"/>
          <w:sz w:val="22"/>
          <w:szCs w:val="22"/>
        </w:rPr>
      </w:pPr>
      <w:r>
        <w:rPr>
          <w:rFonts w:asciiTheme="minorHAnsi" w:hAnsiTheme="minorHAnsi" w:cstheme="minorHAnsi"/>
          <w:color w:val="000000"/>
          <w:sz w:val="22"/>
          <w:szCs w:val="22"/>
        </w:rPr>
        <w:t>Službenik za javne nabavke</w:t>
      </w:r>
      <w:r>
        <w:rPr>
          <w:rFonts w:eastAsia="Calibri" w:asciiTheme="minorHAnsi" w:hAnsiTheme="minorHAnsi" w:cstheme="minorHAnsi"/>
          <w:sz w:val="22"/>
          <w:szCs w:val="22"/>
        </w:rPr>
        <w:t xml:space="preserve"> </w:t>
      </w:r>
    </w:p>
    <w:p>
      <w:pPr>
        <w:wordWrap w:val="0"/>
        <w:ind w:firstLine="1134"/>
        <w:jc w:val="right"/>
        <w:rPr>
          <w:rFonts w:eastAsia="Calibri" w:asciiTheme="minorHAnsi" w:hAnsiTheme="minorHAnsi" w:cstheme="minorHAnsi"/>
          <w:sz w:val="22"/>
          <w:szCs w:val="22"/>
        </w:rPr>
      </w:pPr>
      <w:r>
        <w:rPr>
          <w:rFonts w:eastAsia="Calibri" w:asciiTheme="minorHAnsi" w:hAnsiTheme="minorHAnsi" w:cstheme="minorHAnsi"/>
          <w:sz w:val="22"/>
          <w:szCs w:val="22"/>
        </w:rPr>
        <w:t>mr.Miloš Vučelić</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w:t>
      </w:r>
    </w:p>
    <w:p>
      <w:pPr>
        <w:ind w:left="6372"/>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Lice koje je učestvovalo u planiranju javne nabavke </w:t>
      </w:r>
    </w:p>
    <w:p>
      <w:pPr>
        <w:tabs>
          <w:tab w:val="left" w:pos="3290"/>
        </w:tabs>
        <w:ind w:firstLine="1134"/>
        <w:jc w:val="right"/>
        <w:rPr>
          <w:rFonts w:eastAsia="Calibri" w:asciiTheme="minorHAnsi" w:hAnsiTheme="minorHAnsi" w:cstheme="minorHAnsi"/>
          <w:sz w:val="22"/>
          <w:szCs w:val="22"/>
        </w:rPr>
      </w:pPr>
      <w:r>
        <w:rPr>
          <w:rFonts w:eastAsia="Calibri" w:asciiTheme="minorHAnsi" w:hAnsiTheme="minorHAnsi" w:cstheme="minorHAnsi"/>
          <w:sz w:val="22"/>
          <w:szCs w:val="22"/>
        </w:rPr>
        <w:t xml:space="preserve">Bojan Popović, dipl.inž.maš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w:t>
      </w:r>
    </w:p>
    <w:p>
      <w:pPr>
        <w:ind w:left="6372"/>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lang w:val="sr-Latn-ME"/>
        </w:rPr>
        <w:t xml:space="preserve">  </w:t>
      </w:r>
      <w:r>
        <w:rPr>
          <w:rFonts w:asciiTheme="minorHAnsi" w:hAnsiTheme="minorHAnsi" w:cstheme="minorHAnsi"/>
          <w:i/>
          <w:iCs/>
          <w:color w:val="000000"/>
          <w:sz w:val="22"/>
          <w:szCs w:val="22"/>
        </w:rPr>
        <w:t xml:space="preserve"> s.r.</w:t>
      </w:r>
      <w:r>
        <w:rPr>
          <w:rFonts w:asciiTheme="minorHAnsi" w:hAnsiTheme="minorHAnsi" w:cstheme="minorHAnsi"/>
          <w:iCs/>
          <w:color w:val="000000"/>
          <w:sz w:val="22"/>
          <w:szCs w:val="22"/>
        </w:rPr>
        <w:t xml:space="preserve">                </w:t>
      </w:r>
    </w:p>
    <w:p>
      <w:pPr>
        <w:tabs>
          <w:tab w:val="left" w:pos="3290"/>
        </w:tabs>
        <w:ind w:firstLine="1134"/>
        <w:jc w:val="right"/>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Član komisije </w:t>
      </w:r>
      <w:r>
        <w:rPr>
          <w:rFonts w:asciiTheme="minorHAnsi" w:hAnsiTheme="minorHAnsi" w:cstheme="minorHAnsi"/>
          <w:sz w:val="22"/>
          <w:szCs w:val="22"/>
        </w:rPr>
        <w:t>za sprovođenje postupka javne nabavk</w:t>
      </w:r>
      <w:r>
        <w:rPr>
          <w:rFonts w:asciiTheme="minorHAnsi" w:hAnsiTheme="minorHAnsi" w:cstheme="minorHAnsi"/>
          <w:iCs/>
          <w:color w:val="000000"/>
          <w:sz w:val="22"/>
          <w:szCs w:val="22"/>
        </w:rPr>
        <w:t>e</w:t>
      </w:r>
    </w:p>
    <w:p>
      <w:pPr>
        <w:tabs>
          <w:tab w:val="left" w:pos="3290"/>
        </w:tabs>
        <w:wordWrap w:val="0"/>
        <w:jc w:val="right"/>
        <w:rPr>
          <w:rFonts w:asciiTheme="minorHAnsi" w:hAnsiTheme="minorHAnsi" w:cstheme="minorHAnsi"/>
          <w:iCs/>
          <w:color w:val="000000"/>
          <w:sz w:val="22"/>
          <w:szCs w:val="22"/>
          <w:lang w:val="sr-Latn-ME"/>
        </w:rPr>
      </w:pPr>
      <w:r>
        <w:rPr>
          <w:rFonts w:asciiTheme="minorHAnsi" w:hAnsiTheme="minorHAnsi" w:cstheme="minorHAnsi"/>
          <w:iCs/>
          <w:color w:val="000000"/>
          <w:sz w:val="22"/>
          <w:szCs w:val="22"/>
          <w:lang w:val="sr-Latn-ME"/>
        </w:rPr>
        <w:t xml:space="preserve">Aleksandra Popović,dipl.menag.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__________________</w:t>
      </w:r>
    </w:p>
    <w:p>
      <w:pPr>
        <w:ind w:left="6372"/>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lang w:val="sr-Latn-ME"/>
        </w:rPr>
        <w:t xml:space="preserve">   </w:t>
      </w:r>
      <w:r>
        <w:rPr>
          <w:rFonts w:asciiTheme="minorHAnsi" w:hAnsiTheme="minorHAnsi" w:cstheme="minorHAnsi"/>
          <w:i/>
          <w:iCs/>
          <w:color w:val="000000"/>
          <w:sz w:val="22"/>
          <w:szCs w:val="22"/>
        </w:rPr>
        <w:t xml:space="preserve"> s.r.</w:t>
      </w:r>
    </w:p>
    <w:p>
      <w:pPr>
        <w:tabs>
          <w:tab w:val="left" w:pos="3290"/>
        </w:tabs>
        <w:ind w:firstLine="1134"/>
        <w:jc w:val="right"/>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Član komisije </w:t>
      </w:r>
      <w:r>
        <w:rPr>
          <w:rFonts w:asciiTheme="minorHAnsi" w:hAnsiTheme="minorHAnsi" w:cstheme="minorHAnsi"/>
          <w:sz w:val="22"/>
          <w:szCs w:val="22"/>
        </w:rPr>
        <w:t>za sprovođenje postupka javne nabavk</w:t>
      </w:r>
      <w:r>
        <w:rPr>
          <w:rFonts w:asciiTheme="minorHAnsi" w:hAnsiTheme="minorHAnsi" w:cstheme="minorHAnsi"/>
          <w:iCs/>
          <w:color w:val="000000"/>
          <w:sz w:val="22"/>
          <w:szCs w:val="22"/>
        </w:rPr>
        <w:t>e</w:t>
      </w:r>
    </w:p>
    <w:p>
      <w:pPr>
        <w:tabs>
          <w:tab w:val="left" w:pos="3290"/>
        </w:tabs>
        <w:ind w:firstLine="1134"/>
        <w:jc w:val="right"/>
        <w:rPr>
          <w:rFonts w:asciiTheme="minorHAnsi" w:hAnsiTheme="minorHAnsi" w:cstheme="minorHAnsi"/>
          <w:iCs/>
          <w:color w:val="000000"/>
          <w:sz w:val="22"/>
          <w:szCs w:val="22"/>
          <w:lang w:val="sr-Latn-ME"/>
        </w:rPr>
      </w:pPr>
      <w:r>
        <w:rPr>
          <w:rFonts w:eastAsia="Calibri" w:asciiTheme="minorHAnsi" w:hAnsiTheme="minorHAnsi" w:cstheme="minorHAnsi"/>
          <w:sz w:val="22"/>
          <w:szCs w:val="22"/>
          <w:lang w:val="sr-Latn-ME"/>
        </w:rPr>
        <w:t>Veljo Čadjenović,dipl.pravnik.</w:t>
      </w:r>
      <w:r>
        <w:rPr>
          <w:rFonts w:asciiTheme="minorHAnsi" w:hAnsiTheme="minorHAnsi" w:cstheme="minorHAnsi"/>
          <w:iCs/>
          <w:color w:val="000000"/>
          <w:sz w:val="22"/>
          <w:szCs w:val="22"/>
          <w:lang w:val="sr-Latn-ME"/>
        </w:rPr>
        <w:t xml:space="preserve">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w:t>
      </w:r>
    </w:p>
    <w:p>
      <w:pPr>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lang w:val="sr-Latn-ME"/>
        </w:rPr>
        <w:t xml:space="preserve">                                                                         </w:t>
      </w:r>
      <w:r>
        <w:rPr>
          <w:rFonts w:asciiTheme="minorHAnsi" w:hAnsiTheme="minorHAnsi" w:cstheme="minorHAnsi"/>
          <w:i/>
          <w:iCs/>
          <w:color w:val="000000"/>
          <w:sz w:val="22"/>
          <w:szCs w:val="22"/>
        </w:rPr>
        <w:t>s.r.</w:t>
      </w:r>
      <w:r>
        <w:rPr>
          <w:rFonts w:asciiTheme="minorHAnsi" w:hAnsiTheme="minorHAnsi" w:cstheme="minorHAnsi"/>
          <w:color w:val="000000"/>
          <w:sz w:val="22"/>
          <w:szCs w:val="22"/>
          <w:lang w:val="sr-Latn-ME"/>
        </w:rPr>
        <w:t xml:space="preserve">      </w:t>
      </w:r>
    </w:p>
    <w:p>
      <w:pPr>
        <w:tabs>
          <w:tab w:val="left" w:pos="3290"/>
        </w:tabs>
        <w:ind w:firstLine="1134"/>
        <w:jc w:val="right"/>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Član komisije </w:t>
      </w:r>
      <w:r>
        <w:rPr>
          <w:rFonts w:asciiTheme="minorHAnsi" w:hAnsiTheme="minorHAnsi" w:cstheme="minorHAnsi"/>
          <w:sz w:val="22"/>
          <w:szCs w:val="22"/>
        </w:rPr>
        <w:t>za sprovođenje postupka javne nabavk</w:t>
      </w:r>
      <w:r>
        <w:rPr>
          <w:rFonts w:asciiTheme="minorHAnsi" w:hAnsiTheme="minorHAnsi" w:cstheme="minorHAnsi"/>
          <w:iCs/>
          <w:color w:val="000000"/>
          <w:sz w:val="22"/>
          <w:szCs w:val="22"/>
        </w:rPr>
        <w:t>e</w:t>
      </w:r>
    </w:p>
    <w:p>
      <w:pPr>
        <w:tabs>
          <w:tab w:val="left" w:pos="3290"/>
        </w:tabs>
        <w:ind w:firstLine="1134"/>
        <w:jc w:val="right"/>
        <w:rPr>
          <w:rFonts w:asciiTheme="minorHAnsi" w:hAnsiTheme="minorHAnsi" w:cstheme="minorHAnsi"/>
          <w:iCs/>
          <w:color w:val="000000"/>
          <w:sz w:val="22"/>
          <w:szCs w:val="22"/>
          <w:lang w:val="sr-Latn-ME"/>
        </w:rPr>
      </w:pPr>
      <w:r>
        <w:rPr>
          <w:rFonts w:asciiTheme="minorHAnsi" w:hAnsiTheme="minorHAnsi" w:cstheme="minorHAnsi"/>
          <w:iCs/>
          <w:color w:val="000000"/>
          <w:sz w:val="22"/>
          <w:szCs w:val="22"/>
          <w:lang w:val="sr-Latn-ME"/>
        </w:rPr>
        <w:t>Bojan Popović, dipl.inž.maš.</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lang w:val="sr-Latn-ME"/>
        </w:rPr>
        <w:t xml:space="preserve">                                                                                             </w:t>
      </w:r>
      <w:r>
        <w:rPr>
          <w:rFonts w:asciiTheme="minorHAnsi" w:hAnsiTheme="minorHAnsi" w:cstheme="minorHAnsi"/>
          <w:i/>
          <w:iCs/>
          <w:color w:val="000000"/>
          <w:sz w:val="22"/>
          <w:szCs w:val="22"/>
        </w:rPr>
        <w:t xml:space="preserve">                                  s.r.</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Član komisije za sprovođenje postupka javne nabavke</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mr Slobodan Mandić.</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s.r.      </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Član komisije za sprovođenje postupka javne nabavke</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Tanja Đurišić, dipl.ing. za drumski saobraćaja</w:t>
      </w:r>
    </w:p>
    <w:p>
      <w:pPr>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s.r.</w:t>
      </w:r>
    </w:p>
    <w:p>
      <w:pPr>
        <w:jc w:val="both"/>
        <w:rPr>
          <w:rFonts w:ascii="Arial" w:hAnsi="Arial" w:cs="Arial"/>
          <w:b/>
          <w:bCs/>
          <w:color w:val="000000"/>
        </w:rPr>
      </w:pPr>
    </w:p>
    <w:p>
      <w:pPr>
        <w:keepNext/>
        <w:keepLines/>
        <w:numPr>
          <w:ilvl w:val="0"/>
          <w:numId w:val="8"/>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p>
      <w:pPr>
        <w:jc w:val="both"/>
      </w:pPr>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MingLiU">
    <w:altName w:val="Microsoft JhengHei UI"/>
    <w:panose1 w:val="02010601000101010101"/>
    <w:charset w:val="88"/>
    <w:family w:val="roman"/>
    <w:pitch w:val="default"/>
    <w:sig w:usb0="00000000" w:usb1="00000000" w:usb2="00000010" w:usb3="00000000" w:csb0="001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4532F077"/>
    <w:multiLevelType w:val="singleLevel"/>
    <w:tmpl w:val="4532F077"/>
    <w:lvl w:ilvl="0" w:tentative="0">
      <w:start w:val="1"/>
      <w:numFmt w:val="decimal"/>
      <w:suff w:val="space"/>
      <w:lvlText w:val="%1)"/>
      <w:lvlJc w:val="left"/>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B5B4477"/>
    <w:multiLevelType w:val="multilevel"/>
    <w:tmpl w:val="6B5B4477"/>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845CE"/>
    <w:rsid w:val="001110FD"/>
    <w:rsid w:val="001B1A1D"/>
    <w:rsid w:val="00265BDA"/>
    <w:rsid w:val="002C1DF7"/>
    <w:rsid w:val="00530914"/>
    <w:rsid w:val="005B0AB0"/>
    <w:rsid w:val="00676534"/>
    <w:rsid w:val="00691C76"/>
    <w:rsid w:val="006C0ECB"/>
    <w:rsid w:val="006C7C6E"/>
    <w:rsid w:val="00704748"/>
    <w:rsid w:val="00844E7E"/>
    <w:rsid w:val="008C7FBE"/>
    <w:rsid w:val="00A033AC"/>
    <w:rsid w:val="00AC1C0B"/>
    <w:rsid w:val="00AC3A64"/>
    <w:rsid w:val="00BB2F09"/>
    <w:rsid w:val="00BC12A6"/>
    <w:rsid w:val="00CB7DD4"/>
    <w:rsid w:val="00CD3536"/>
    <w:rsid w:val="00DE1AC2"/>
    <w:rsid w:val="00EE50EB"/>
    <w:rsid w:val="00FA7AE8"/>
    <w:rsid w:val="00FB6B9A"/>
    <w:rsid w:val="010467A1"/>
    <w:rsid w:val="0182654C"/>
    <w:rsid w:val="01A677D7"/>
    <w:rsid w:val="02153BB4"/>
    <w:rsid w:val="02F632E0"/>
    <w:rsid w:val="03072609"/>
    <w:rsid w:val="03740749"/>
    <w:rsid w:val="047D6AC0"/>
    <w:rsid w:val="0704058A"/>
    <w:rsid w:val="08021077"/>
    <w:rsid w:val="0882267F"/>
    <w:rsid w:val="09BD1444"/>
    <w:rsid w:val="09C84CD6"/>
    <w:rsid w:val="0A054415"/>
    <w:rsid w:val="0B2A50B3"/>
    <w:rsid w:val="0B5A60E7"/>
    <w:rsid w:val="0CDF54F2"/>
    <w:rsid w:val="0F3570D4"/>
    <w:rsid w:val="0F94211D"/>
    <w:rsid w:val="104C382C"/>
    <w:rsid w:val="10AD7E95"/>
    <w:rsid w:val="1199230C"/>
    <w:rsid w:val="119A56B6"/>
    <w:rsid w:val="129C348E"/>
    <w:rsid w:val="12BA46A8"/>
    <w:rsid w:val="12E82000"/>
    <w:rsid w:val="13AB6B06"/>
    <w:rsid w:val="13B528C6"/>
    <w:rsid w:val="143B675F"/>
    <w:rsid w:val="14A764D8"/>
    <w:rsid w:val="14CC51E3"/>
    <w:rsid w:val="15E92B64"/>
    <w:rsid w:val="167A20EE"/>
    <w:rsid w:val="16946B78"/>
    <w:rsid w:val="16A268E5"/>
    <w:rsid w:val="16CD5BE6"/>
    <w:rsid w:val="17D3768B"/>
    <w:rsid w:val="186E045C"/>
    <w:rsid w:val="18873593"/>
    <w:rsid w:val="1FD257A9"/>
    <w:rsid w:val="1FFC12EA"/>
    <w:rsid w:val="204609CE"/>
    <w:rsid w:val="216453A6"/>
    <w:rsid w:val="21D02A2F"/>
    <w:rsid w:val="21F7390F"/>
    <w:rsid w:val="22FE5CD5"/>
    <w:rsid w:val="23FF0219"/>
    <w:rsid w:val="241F5F34"/>
    <w:rsid w:val="246D799A"/>
    <w:rsid w:val="2945261F"/>
    <w:rsid w:val="2BE07D12"/>
    <w:rsid w:val="2D7F5B60"/>
    <w:rsid w:val="2E0317A5"/>
    <w:rsid w:val="2E312AA7"/>
    <w:rsid w:val="2F52325C"/>
    <w:rsid w:val="311F2ED7"/>
    <w:rsid w:val="32A85B6B"/>
    <w:rsid w:val="32B4220A"/>
    <w:rsid w:val="32FD564D"/>
    <w:rsid w:val="339662D2"/>
    <w:rsid w:val="33CA38CE"/>
    <w:rsid w:val="34470052"/>
    <w:rsid w:val="34C55315"/>
    <w:rsid w:val="35714746"/>
    <w:rsid w:val="37386C54"/>
    <w:rsid w:val="37B7245C"/>
    <w:rsid w:val="37F91FB1"/>
    <w:rsid w:val="381260C4"/>
    <w:rsid w:val="38C45315"/>
    <w:rsid w:val="39513104"/>
    <w:rsid w:val="3B23102C"/>
    <w:rsid w:val="3B97548F"/>
    <w:rsid w:val="3BB02335"/>
    <w:rsid w:val="3CE96503"/>
    <w:rsid w:val="3D694E77"/>
    <w:rsid w:val="3D6A795E"/>
    <w:rsid w:val="3DBA4175"/>
    <w:rsid w:val="3DFD76EB"/>
    <w:rsid w:val="3DFF5494"/>
    <w:rsid w:val="3F5D6B63"/>
    <w:rsid w:val="40BD51B0"/>
    <w:rsid w:val="4136343A"/>
    <w:rsid w:val="417530D5"/>
    <w:rsid w:val="41EA2122"/>
    <w:rsid w:val="45F95D9F"/>
    <w:rsid w:val="46B41FA9"/>
    <w:rsid w:val="470D1349"/>
    <w:rsid w:val="494263AF"/>
    <w:rsid w:val="49C66D3D"/>
    <w:rsid w:val="4B5C0247"/>
    <w:rsid w:val="4B7F5814"/>
    <w:rsid w:val="4C3A12B7"/>
    <w:rsid w:val="4E89289B"/>
    <w:rsid w:val="4F42634C"/>
    <w:rsid w:val="4FA26D69"/>
    <w:rsid w:val="51AC22D6"/>
    <w:rsid w:val="52606C37"/>
    <w:rsid w:val="52CA6EA2"/>
    <w:rsid w:val="53EC1D2A"/>
    <w:rsid w:val="53F513BE"/>
    <w:rsid w:val="544A53F9"/>
    <w:rsid w:val="544F6952"/>
    <w:rsid w:val="546B49DC"/>
    <w:rsid w:val="54C00DE0"/>
    <w:rsid w:val="54FA58A1"/>
    <w:rsid w:val="553B6EBD"/>
    <w:rsid w:val="55D5176B"/>
    <w:rsid w:val="57203FDD"/>
    <w:rsid w:val="57B76D0C"/>
    <w:rsid w:val="587E502A"/>
    <w:rsid w:val="592179C3"/>
    <w:rsid w:val="5B215ACE"/>
    <w:rsid w:val="5B9A79C5"/>
    <w:rsid w:val="5CC02939"/>
    <w:rsid w:val="5D526D60"/>
    <w:rsid w:val="5D6B4D01"/>
    <w:rsid w:val="5E063299"/>
    <w:rsid w:val="5FD42B18"/>
    <w:rsid w:val="60034C1C"/>
    <w:rsid w:val="60285EA0"/>
    <w:rsid w:val="60754C13"/>
    <w:rsid w:val="60A64A45"/>
    <w:rsid w:val="61B168FB"/>
    <w:rsid w:val="633223A9"/>
    <w:rsid w:val="6408331E"/>
    <w:rsid w:val="64E50CD5"/>
    <w:rsid w:val="669C24AC"/>
    <w:rsid w:val="66C11F13"/>
    <w:rsid w:val="66C15722"/>
    <w:rsid w:val="6701149E"/>
    <w:rsid w:val="673D04F4"/>
    <w:rsid w:val="6772447A"/>
    <w:rsid w:val="68F63F17"/>
    <w:rsid w:val="695D5F23"/>
    <w:rsid w:val="697F1B3E"/>
    <w:rsid w:val="6E832D09"/>
    <w:rsid w:val="6F136DCF"/>
    <w:rsid w:val="6F2A0EF1"/>
    <w:rsid w:val="702E4A5E"/>
    <w:rsid w:val="70473640"/>
    <w:rsid w:val="716C7B3D"/>
    <w:rsid w:val="728C1131"/>
    <w:rsid w:val="74230CD8"/>
    <w:rsid w:val="74757D73"/>
    <w:rsid w:val="749F638C"/>
    <w:rsid w:val="75235A27"/>
    <w:rsid w:val="75897D86"/>
    <w:rsid w:val="763C778B"/>
    <w:rsid w:val="764D1B55"/>
    <w:rsid w:val="789F169C"/>
    <w:rsid w:val="78A82663"/>
    <w:rsid w:val="7AED1AF4"/>
    <w:rsid w:val="7AF519AB"/>
    <w:rsid w:val="7CB44141"/>
    <w:rsid w:val="7DB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C2BB-1E6D-4F7A-A5B7-6D61403CC4FE}">
  <ds:schemaRefs/>
</ds:datastoreItem>
</file>

<file path=docProps/app.xml><?xml version="1.0" encoding="utf-8"?>
<Properties xmlns="http://schemas.openxmlformats.org/officeDocument/2006/extended-properties" xmlns:vt="http://schemas.openxmlformats.org/officeDocument/2006/docPropsVTypes">
  <Template>Normal</Template>
  <Pages>12</Pages>
  <Words>2938</Words>
  <Characters>16749</Characters>
  <Lines>139</Lines>
  <Paragraphs>39</Paragraphs>
  <TotalTime>1</TotalTime>
  <ScaleCrop>false</ScaleCrop>
  <LinksUpToDate>false</LinksUpToDate>
  <CharactersWithSpaces>19648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2024-02-05T10:58:00Z</dcterms:created>
  <dc:creator>aleksandar.pavlicevi</dc:creator>
  <cp:lastModifiedBy>Milos</cp:lastModifiedBy>
  <cp:lastPrinted>2024-02-05T10:57:00Z</cp:lastPrinted>
  <dcterms:modified xsi:type="dcterms:W3CDTF">2024-02-05T12:42:14Z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572387A3FA2D4F1D933072BE4613A775_13</vt:lpwstr>
  </property>
</Properties>
</file>