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r>
        <w:rPr>
          <w:rFonts w:ascii="Arial" w:hAnsi="Arial" w:cs="Arial"/>
          <w:b/>
          <w:color w:val="000000"/>
        </w:rPr>
        <w:t xml:space="preserve">OBRAZAC 1  </w:t>
      </w:r>
    </w:p>
    <w:p>
      <w:pPr>
        <w:rPr>
          <w:rFonts w:ascii="Arial" w:hAnsi="Arial" w:cs="Arial"/>
          <w:color w:val="000000"/>
        </w:rPr>
      </w:pPr>
      <w:r>
        <w:rPr>
          <w:rFonts w:ascii="Arial" w:hAnsi="Arial" w:cs="Arial"/>
          <w:color w:val="000000"/>
        </w:rPr>
        <w:t>Putevi d.o.o. Podgorica</w:t>
      </w:r>
    </w:p>
    <w:p>
      <w:pPr>
        <w:rPr>
          <w:rFonts w:ascii="Arial" w:hAnsi="Arial" w:cs="Arial"/>
          <w:color w:val="000000"/>
          <w:lang w:val="sr-Latn-ME"/>
        </w:rPr>
      </w:pPr>
      <w:r>
        <w:rPr>
          <w:rFonts w:ascii="Arial" w:hAnsi="Arial" w:cs="Arial"/>
          <w:color w:val="000000"/>
        </w:rPr>
        <w:t>Broj iz evidencije postupaka javnih nabavki: 05/24</w:t>
      </w:r>
    </w:p>
    <w:p>
      <w:pPr>
        <w:rPr>
          <w:rFonts w:ascii="Arial" w:hAnsi="Arial" w:cs="Arial"/>
          <w:color w:val="000000"/>
          <w:lang w:val="sr-Latn-ME"/>
        </w:rPr>
      </w:pPr>
      <w:r>
        <w:rPr>
          <w:rFonts w:ascii="Arial" w:hAnsi="Arial" w:cs="Arial"/>
          <w:color w:val="000000"/>
        </w:rPr>
        <w:t>Redni broj iz Plana javnih nabavki:</w:t>
      </w:r>
      <w:r>
        <w:rPr>
          <w:rFonts w:ascii="Arial" w:hAnsi="Arial" w:cs="Arial"/>
          <w:color w:val="000000"/>
          <w:lang w:val="sr-Latn-ME"/>
        </w:rPr>
        <w:t xml:space="preserve"> 5</w:t>
      </w:r>
    </w:p>
    <w:p>
      <w:pPr>
        <w:rPr>
          <w:rFonts w:ascii="Arial" w:hAnsi="Arial" w:cs="Arial"/>
          <w:b/>
          <w:bCs/>
          <w:color w:val="000000"/>
        </w:rPr>
      </w:pPr>
      <w:r>
        <w:rPr>
          <w:rFonts w:ascii="Arial" w:hAnsi="Arial" w:cs="Arial"/>
          <w:color w:val="000000"/>
        </w:rPr>
        <w:t>Mjesto i datum: 20.02</w:t>
      </w:r>
      <w:r>
        <w:rPr>
          <w:rFonts w:ascii="Arial" w:hAnsi="Arial" w:cs="Arial"/>
          <w:color w:val="000000"/>
          <w:lang w:val="sr-Latn-ME"/>
        </w:rPr>
        <w:t>.2024</w:t>
      </w:r>
      <w:r>
        <w:rPr>
          <w:rFonts w:ascii="Arial" w:hAnsi="Arial" w:cs="Arial"/>
          <w:color w:val="000000"/>
        </w:rPr>
        <w:t xml:space="preserve"> godine</w:t>
      </w:r>
    </w:p>
    <w:p>
      <w:pPr>
        <w:rPr>
          <w:rFonts w:ascii="Arial" w:hAnsi="Arial" w:cs="Arial"/>
          <w:color w:val="000000"/>
        </w:rPr>
      </w:pPr>
    </w:p>
    <w:p>
      <w:pPr>
        <w:rPr>
          <w:rFonts w:ascii="Arial" w:hAnsi="Arial" w:cs="Arial"/>
          <w:color w:val="000000"/>
        </w:rPr>
      </w:pPr>
    </w:p>
    <w:p>
      <w:pPr>
        <w:rPr>
          <w:rFonts w:ascii="Arial" w:hAnsi="Arial" w:cs="Arial"/>
          <w:b/>
          <w:bCs/>
          <w:color w:val="000000"/>
        </w:rPr>
      </w:pPr>
      <w:r>
        <w:rPr>
          <w:rFonts w:ascii="Arial" w:hAnsi="Arial" w:cs="Arial"/>
          <w:color w:val="000000"/>
        </w:rPr>
        <w:t>Na osnovu člana 93 stav 1 Zakona o javnim nabavkama („Službeni list CG“, br. 074/19</w:t>
      </w:r>
      <w:r>
        <w:rPr>
          <w:rFonts w:ascii="Arial" w:hAnsi="Arial" w:cs="Arial"/>
          <w:color w:val="000000"/>
          <w:lang w:val="sr-Latn-ME"/>
        </w:rPr>
        <w:t xml:space="preserve">, 3/23,011/23), </w:t>
      </w:r>
      <w:r>
        <w:rPr>
          <w:rFonts w:ascii="Arial" w:hAnsi="Arial" w:cs="Arial"/>
          <w:color w:val="000000"/>
        </w:rPr>
        <w:t>Putevi d.o.o. Podgorica objavljuje</w:t>
      </w:r>
      <w:r>
        <w:rPr>
          <w:rFonts w:ascii="Arial" w:hAnsi="Arial" w:cs="Arial"/>
          <w:b/>
          <w:bCs/>
          <w:color w:val="000000"/>
        </w:rPr>
        <w:t xml:space="preserve">        </w:t>
      </w:r>
    </w:p>
    <w:p>
      <w:pPr>
        <w:rPr>
          <w:rFonts w:ascii="Arial" w:hAnsi="Arial" w:cs="Arial"/>
          <w:b/>
          <w:bCs/>
          <w:color w:val="000000"/>
        </w:rPr>
      </w:pPr>
    </w:p>
    <w:p>
      <w:pPr>
        <w:rPr>
          <w:rFonts w:ascii="Arial" w:hAnsi="Arial" w:cs="Arial"/>
          <w:b/>
          <w:bCs/>
          <w:color w:val="000000"/>
        </w:rPr>
      </w:pPr>
    </w:p>
    <w:p>
      <w:pPr>
        <w:rPr>
          <w:rFonts w:ascii="Arial" w:hAnsi="Arial" w:cs="Arial"/>
          <w:b/>
          <w:bCs/>
          <w:color w:val="000000"/>
        </w:rPr>
      </w:pPr>
    </w:p>
    <w:p>
      <w:pPr>
        <w:jc w:val="center"/>
        <w:rPr>
          <w:rFonts w:ascii="Arial" w:hAnsi="Arial" w:cs="Arial"/>
          <w:color w:val="000000"/>
        </w:rPr>
      </w:pPr>
    </w:p>
    <w:p>
      <w:pPr>
        <w:jc w:val="center"/>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jc w:val="center"/>
        <w:rPr>
          <w:rFonts w:ascii="Arial" w:hAnsi="Arial" w:cs="Arial"/>
          <w:color w:val="000000"/>
          <w:lang w:val="sr-Latn-ME"/>
        </w:rPr>
      </w:pPr>
      <w:r>
        <w:rPr>
          <w:rFonts w:ascii="Arial" w:hAnsi="Arial" w:cs="Arial"/>
          <w:color w:val="000000"/>
        </w:rPr>
        <w:t>Za nabavku</w:t>
      </w:r>
      <w:r>
        <w:rPr>
          <w:rFonts w:ascii="Arial" w:hAnsi="Arial" w:cs="Arial"/>
          <w:color w:val="000000"/>
          <w:lang w:val="sr-Latn-ME"/>
        </w:rPr>
        <w:t xml:space="preserve"> radova-</w:t>
      </w:r>
      <w:r>
        <w:rPr>
          <w:rFonts w:ascii="Arial" w:hAnsi="Arial" w:cs="Arial"/>
          <w:color w:val="000000"/>
        </w:rPr>
        <w:t xml:space="preserve"> Radovi na održavanju puteva, radovi na izgradnji puteva, radovi na betoniranju</w:t>
      </w:r>
    </w:p>
    <w:p>
      <w:pPr>
        <w:jc w:val="center"/>
        <w:rPr>
          <w:rFonts w:ascii="Arial" w:hAnsi="Arial" w:cs="Arial"/>
          <w:color w:val="000000"/>
        </w:rPr>
      </w:pP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lang w:val="sr-Latn-ME"/>
        </w:rPr>
      </w:pPr>
      <w:r>
        <w:rPr>
          <w:rFonts w:ascii="Arial" w:hAnsi="Arial" w:cs="Arial"/>
          <w:color w:val="000000"/>
          <w:lang w:val="sr-Latn-ME"/>
        </w:rPr>
        <w:sym w:font="Wingdings" w:char="F078"/>
      </w:r>
      <w:r>
        <w:rPr>
          <w:rFonts w:ascii="Arial" w:hAnsi="Arial" w:cs="Arial"/>
          <w:color w:val="000000"/>
          <w:lang w:val="sr-Latn-ME"/>
        </w:rPr>
        <w:t xml:space="preserve"> 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r>
        <w:rPr>
          <w:rFonts w:ascii="Arial" w:hAnsi="Arial" w:cs="Arial"/>
          <w:b/>
          <w:color w:val="000000"/>
        </w:rPr>
        <w:t xml:space="preserve"> </w:t>
      </w:r>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0"/>
          <w:bottom w:val="single" w:color="auto" w:sz="4" w:space="1"/>
          <w:right w:val="single" w:color="auto" w:sz="4" w:space="4"/>
        </w:pBdr>
        <w:shd w:val="clear" w:color="auto" w:fill="D9D9D9"/>
        <w:spacing w:before="240" w:after="160" w:line="259" w:lineRule="auto"/>
        <w:ind w:left="450" w:hanging="450"/>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predmenta 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b/>
          <w:bCs/>
          <w:color w:val="000000"/>
        </w:rPr>
      </w:pPr>
      <w:r>
        <w:rPr>
          <w:rFonts w:ascii="Arial" w:hAnsi="Arial" w:eastAsia="Calibri" w:cs="Arial"/>
          <w:color w:val="000000"/>
        </w:rPr>
        <w:sym w:font="Wingdings" w:char="F0A8"/>
      </w:r>
      <w:r>
        <w:rPr>
          <w:rFonts w:ascii="Arial" w:hAnsi="Arial" w:eastAsia="Calibri" w:cs="Arial"/>
          <w:color w:val="000000"/>
        </w:rPr>
        <w:t xml:space="preserve"> </w:t>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rPr>
          <w:rFonts w:ascii="Arial" w:hAnsi="Arial" w:cs="Arial"/>
          <w:bCs/>
          <w:lang w:val="sr-Latn-ME"/>
        </w:rPr>
      </w:pPr>
      <w:r>
        <w:rPr>
          <w:rFonts w:ascii="Arial" w:hAnsi="Arial" w:cs="Arial"/>
          <w:bCs/>
          <w:lang w:val="sr-Latn-ME"/>
        </w:rPr>
        <w:t>250.000,00 eura</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color w:val="222A35"/>
        </w:rPr>
        <w:t xml:space="preserve"> </w:t>
      </w: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r>
        <w:rPr>
          <w:rFonts w:ascii="Arial" w:hAnsi="Arial" w:cs="Arial"/>
          <w:b/>
          <w:color w:val="FF0000"/>
        </w:rPr>
        <w:t xml:space="preserve"> </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Arial" w:hAnsi="Arial" w:cs="Arial"/>
          <w:b/>
        </w:rPr>
      </w:pPr>
      <w:bookmarkStart w:id="4" w:name="_Toc62730557"/>
      <w:r>
        <w:rPr>
          <w:rFonts w:ascii="Arial" w:hAnsi="Arial" w:cs="Arial"/>
          <w:b/>
        </w:rPr>
        <w:t>OSNOVI ZA OBAVEZNO ISKLJUČENJE IZ POSTUPKA JAVNE NABAVKE</w:t>
      </w:r>
      <w:bookmarkEnd w:id="4"/>
    </w:p>
    <w:p>
      <w:pPr>
        <w:rPr>
          <w:rFonts w:ascii="Arial" w:hAnsi="Arial" w:cs="Arial"/>
          <w:lang w:val="sr-Latn-ME"/>
        </w:rPr>
      </w:pPr>
      <w:r>
        <w:rPr>
          <w:rFonts w:ascii="Arial" w:hAnsi="Arial" w:cs="Arial"/>
          <w:lang w:val="sr-Latn-ME"/>
        </w:rPr>
        <w:t xml:space="preserve">Privredni subjekat će se isključiti iz postupka javne nabavke, ako: </w:t>
      </w:r>
    </w:p>
    <w:p>
      <w:pPr>
        <w:numPr>
          <w:ilvl w:val="0"/>
          <w:numId w:val="6"/>
        </w:numPr>
        <w:rPr>
          <w:rFonts w:ascii="Arial" w:hAnsi="Arial" w:cs="Arial"/>
          <w:lang w:val="sr-Latn-ME"/>
        </w:rPr>
      </w:pPr>
      <w:r>
        <w:rPr>
          <w:rFonts w:ascii="Arial" w:hAnsi="Arial" w:cs="Arial"/>
          <w:lang w:val="sr-Latn-ME"/>
        </w:rPr>
        <w:t>je vršio neprimjeren uticaj u smislu člana 38 stav 2 tačka 1 ovog zakona;</w:t>
      </w:r>
    </w:p>
    <w:p>
      <w:pPr>
        <w:numPr>
          <w:ilvl w:val="0"/>
          <w:numId w:val="6"/>
        </w:numPr>
        <w:rPr>
          <w:rFonts w:ascii="Arial" w:hAnsi="Arial" w:cs="Arial"/>
          <w:lang w:val="sr-Latn-ME"/>
        </w:rPr>
      </w:pPr>
      <w:r>
        <w:rPr>
          <w:rFonts w:ascii="Arial" w:hAnsi="Arial" w:cs="Arial"/>
          <w:lang w:val="sr-Latn-ME"/>
        </w:rPr>
        <w:t>postoji sukob interesa iz člana 41 stav 1 tačka 2 ili člana 42 ovog zakona;</w:t>
      </w:r>
    </w:p>
    <w:p>
      <w:pPr>
        <w:numPr>
          <w:ilvl w:val="0"/>
          <w:numId w:val="6"/>
        </w:numPr>
        <w:rPr>
          <w:rFonts w:ascii="Arial" w:hAnsi="Arial" w:cs="Arial"/>
          <w:lang w:val="sr-Latn-ME"/>
        </w:rPr>
      </w:pPr>
      <w:r>
        <w:rPr>
          <w:rFonts w:ascii="Arial" w:hAnsi="Arial" w:cs="Arial"/>
          <w:lang w:val="sr-Latn-ME"/>
        </w:rPr>
        <w:t>ne ispunjava uslov iz člana 99 ovog zakona;</w:t>
      </w:r>
    </w:p>
    <w:p>
      <w:pPr>
        <w:numPr>
          <w:ilvl w:val="0"/>
          <w:numId w:val="6"/>
        </w:numPr>
        <w:rPr>
          <w:rFonts w:ascii="Arial" w:hAnsi="Arial" w:cs="Arial"/>
          <w:lang w:val="sr-Latn-ME"/>
        </w:rPr>
      </w:pPr>
      <w:r>
        <w:rPr>
          <w:rFonts w:ascii="Arial" w:hAnsi="Arial" w:cs="Arial"/>
          <w:lang w:val="sr-Latn-ME"/>
        </w:rPr>
        <w:t>ne ispunjava uslov iz čl. 102, 104 ili 106 ovog zakona predviđen tenderskom dokumentacijom;</w:t>
      </w:r>
    </w:p>
    <w:p>
      <w:pPr>
        <w:numPr>
          <w:ilvl w:val="0"/>
          <w:numId w:val="6"/>
        </w:numPr>
        <w:rPr>
          <w:rFonts w:ascii="Arial" w:hAnsi="Arial" w:cs="Arial"/>
          <w:lang w:val="sr-Latn-ME"/>
        </w:rPr>
      </w:pPr>
      <w:r>
        <w:rPr>
          <w:rFonts w:ascii="Arial" w:hAnsi="Arial" w:cs="Arial"/>
          <w:lang w:val="sr-Latn-ME"/>
        </w:rPr>
        <w:t>nije dostavio izjavu privrednog subjekta ili dostavljena izjava ne sadrži informacije i podatke tražene tenderskom dokumentacijom ili je nepravilno sačinjena;</w:t>
      </w:r>
    </w:p>
    <w:p>
      <w:pPr>
        <w:numPr>
          <w:ilvl w:val="0"/>
          <w:numId w:val="6"/>
        </w:numPr>
        <w:rPr>
          <w:rFonts w:ascii="Arial" w:hAnsi="Arial" w:cs="Arial"/>
          <w:lang w:val="sr-Latn-ME"/>
        </w:rPr>
      </w:pPr>
      <w:r>
        <w:rPr>
          <w:rFonts w:ascii="Arial" w:hAnsi="Arial" w:cs="Arial"/>
          <w:lang w:val="sr-Latn-ME"/>
        </w:rPr>
        <w:t>postoji razlog na osnovu kojeg se smatra da je odustao od prijave, odnosno ponude, a koji je propisan članom 120 stav 15 ovog zakona;</w:t>
      </w:r>
    </w:p>
    <w:p>
      <w:pPr>
        <w:numPr>
          <w:ilvl w:val="0"/>
          <w:numId w:val="6"/>
        </w:numPr>
        <w:rPr>
          <w:rFonts w:ascii="Arial" w:hAnsi="Arial" w:cs="Arial"/>
          <w:lang w:val="sr-Latn-ME"/>
        </w:rPr>
      </w:pPr>
      <w:r>
        <w:rPr>
          <w:rFonts w:ascii="Arial" w:hAnsi="Arial" w:cs="Arial"/>
          <w:lang w:val="sr-Latn-ME"/>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lang w:val="sr-Latn-ME"/>
        </w:rPr>
      </w:pPr>
      <w:r>
        <w:rPr>
          <w:rFonts w:ascii="Arial" w:hAnsi="Arial" w:cs="Arial"/>
          <w:lang w:val="sr-Latn-ME"/>
        </w:rPr>
        <w:t>postoji drugi razlog propisan ovim zakonom.</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Arial" w:hAnsi="Arial" w:cs="Arial"/>
          <w:b/>
        </w:rPr>
      </w:pPr>
      <w:bookmarkStart w:id="5" w:name="_Toc62730558"/>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eastAsia="sans-serif" w:cs="Arial"/>
        </w:rPr>
      </w:pPr>
      <w:bookmarkStart w:id="6" w:name="_Toc62730559"/>
      <w:r>
        <w:rPr>
          <w:rFonts w:ascii="Arial" w:hAnsi="Arial" w:eastAsia="sans-serif" w:cs="Arial"/>
        </w:rPr>
        <w:t xml:space="preserve">Ponuđač čija ponuda bude izabrana kao najpovoljnija je dužan da uz potpisan ugovor o javnoj nabavci dostavi naručiocu: </w:t>
      </w:r>
    </w:p>
    <w:p>
      <w:pPr>
        <w:jc w:val="both"/>
        <w:rPr>
          <w:rFonts w:ascii="Arial" w:hAnsi="Arial" w:eastAsia="sans-serif" w:cs="Arial"/>
        </w:rPr>
      </w:pPr>
      <w:r>
        <w:rPr>
          <w:rFonts w:ascii="Arial" w:hAnsi="Arial" w:eastAsia="sans-serif" w:cs="Arial"/>
          <w:lang w:val="sr-Latn-ME"/>
        </w:rPr>
        <w:t>-</w:t>
      </w:r>
      <w:r>
        <w:rPr>
          <w:rFonts w:ascii="Arial" w:hAnsi="Arial" w:eastAsia="sans-serif" w:cs="Arial"/>
        </w:rPr>
        <w:t xml:space="preserve">garanciju za dobro izvršenje ugovora, za slučaj povrede ugovorenih obaveza u iznosu od 10 % od vrijednosti ugovora sa rokom vazenja 10 dana dužim od ugovorenog roka. </w:t>
      </w:r>
    </w:p>
    <w:p>
      <w:pPr>
        <w:jc w:val="both"/>
        <w:rPr>
          <w:rFonts w:ascii="Arial" w:hAnsi="Arial" w:eastAsia="Calibri" w:cs="Arial"/>
          <w:color w:val="000000"/>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0" w:firstLine="0"/>
        <w:outlineLvl w:val="0"/>
        <w:rPr>
          <w:rFonts w:ascii="Arial" w:hAnsi="Arial" w:cs="Arial"/>
          <w:b/>
          <w:color w:val="000000"/>
        </w:rPr>
      </w:pPr>
      <w:r>
        <w:rPr>
          <w:rFonts w:ascii="Arial" w:hAnsi="Arial" w:cs="Arial"/>
          <w:b/>
        </w:rPr>
        <w:t>METODOLOGIJA VREDNOVANJA PONUDA</w:t>
      </w:r>
      <w:bookmarkEnd w:id="6"/>
    </w:p>
    <w:p>
      <w:pPr>
        <w:rPr>
          <w:rFonts w:ascii="Arial" w:hAnsi="Arial" w:cs="Arial"/>
        </w:rPr>
      </w:pP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5"/>
      </w:r>
      <w:r>
        <w:rPr>
          <w:rFonts w:ascii="Arial" w:hAnsi="Arial" w:cs="Arial"/>
        </w:rPr>
        <w:t xml:space="preserve">: </w:t>
      </w:r>
    </w:p>
    <w:p>
      <w:pPr>
        <w:rPr>
          <w:rFonts w:ascii="Arial" w:hAnsi="Arial" w:cs="Arial"/>
        </w:rPr>
      </w:pPr>
      <w:r>
        <w:rPr>
          <w:rFonts w:ascii="Arial" w:hAnsi="Arial" w:cs="Arial"/>
          <w:color w:val="000000"/>
        </w:rPr>
        <w:sym w:font="Wingdings" w:char="F0A8"/>
      </w:r>
      <w:r>
        <w:rPr>
          <w:rFonts w:ascii="Arial" w:hAnsi="Arial" w:cs="Arial"/>
          <w:color w:val="000000"/>
        </w:rPr>
        <w:t xml:space="preserve"> </w:t>
      </w:r>
      <w:r>
        <w:rPr>
          <w:rFonts w:ascii="Arial" w:hAnsi="Arial" w:cs="Arial"/>
        </w:rPr>
        <w:t xml:space="preserve">odnos cijene i kvaliteta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Naručilac će u postupku javne nabavki izabrati ekonomski najpovoljniju ponudu, primjenom relativnog (proporcionalni) metoda, po osnovu kriterijuma: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1)</w:t>
      </w:r>
      <w:r>
        <w:rPr>
          <w:rFonts w:ascii="Arial" w:hAnsi="Arial" w:cs="Arial"/>
          <w:i/>
          <w:color w:val="000000"/>
        </w:rPr>
        <w:tab/>
      </w:r>
      <w:r>
        <w:rPr>
          <w:rFonts w:ascii="Arial" w:hAnsi="Arial" w:cs="Arial"/>
          <w:i/>
          <w:color w:val="000000"/>
        </w:rPr>
        <w:t>ODNOS CIJENE  KVALITETA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w:t>
      </w:r>
      <w:r>
        <w:rPr>
          <w:rFonts w:ascii="Arial" w:hAnsi="Arial" w:cs="Arial"/>
          <w:i/>
          <w:color w:val="000000"/>
        </w:rPr>
        <w:tab/>
      </w:r>
      <w:r>
        <w:rPr>
          <w:rFonts w:ascii="Arial" w:hAnsi="Arial" w:cs="Arial"/>
          <w:i/>
          <w:color w:val="000000"/>
        </w:rPr>
        <w:t>Cijena ………………………………90 bodova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w:t>
      </w:r>
      <w:r>
        <w:rPr>
          <w:rFonts w:ascii="Arial" w:hAnsi="Arial" w:cs="Arial"/>
          <w:i/>
          <w:color w:val="000000"/>
        </w:rPr>
        <w:tab/>
      </w:r>
      <w:r>
        <w:rPr>
          <w:rFonts w:ascii="Arial" w:hAnsi="Arial" w:cs="Arial"/>
          <w:i/>
          <w:color w:val="000000"/>
        </w:rPr>
        <w:t>Kvalitet - rok odaziva za izvršenje pojedinačne usluge …… 10 bodova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Parametar cijena (C) vrednovaće se na sljedeći način: max 90 bodova za izbor najpovoljnije ponude primjenom parametra najniža ponuđena cijena, kao osnova za vrednovanje uzimaju se ponuđjene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Broj bodova(C)= (najniža ponudjena cijena bez PDV / ponudjena cijena bez PDV) ×90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parametar kvalitet (K) – rok odaziva za izvršenje pojedinačne usluge</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Parametar kvalitet (K) – rok odaziva za izvršenje pojedinačne usluge vrednovaće se na sljedeći način: max 10 bodova primjenom ovog parametra dobija ponuđač sa najkraćim ponuđenim rokom odaziva za izvršenje pojedinačnih predmetnih usluga, a drugi ponuđači dobijaju proporcionalno manji broj bodova po formuli: Broj bodova(K)= (najkraći ponuđeni rok odaziva za izvršenje pojedinačne usluge/ ponuđeni rok odaziva za izvršenje usluge) × 10 Napomena. Ponuđač je dužan da u ponudi navede rok odaziva za izvršenje pojedinačne usluge koji će se koristiti za vrednovanje podkriterijuma roka. Najkraći ponuđeni rok odaziva za izvršenje pojedinačne usluge ne može biti duži od 72 sata od poziva naručioca.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Rok odaziva iskazuje se u satima.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p>
    <w:p>
      <w:pPr>
        <w:rPr>
          <w:rFonts w:ascii="Arial" w:hAnsi="Arial" w:cs="Arial"/>
        </w:rPr>
      </w:pPr>
    </w:p>
    <w:p>
      <w:pPr>
        <w:rPr>
          <w:rFonts w:ascii="Arial" w:hAnsi="Arial" w:cs="Arial"/>
          <w:lang w:val="sr-Latn-ME"/>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lang w:val="sr-Latn-ME"/>
        </w:rPr>
      </w:pPr>
      <w:r>
        <w:rPr>
          <w:rFonts w:ascii="Arial" w:hAnsi="Arial" w:cs="Arial"/>
          <w:color w:val="000000"/>
        </w:rPr>
        <w:sym w:font="Wingdings" w:char="F0A8"/>
      </w:r>
      <w:r>
        <w:rPr>
          <w:rFonts w:ascii="Arial" w:hAnsi="Arial" w:cs="Arial"/>
          <w:color w:val="000000"/>
          <w:lang w:val="sr-Latn-ME"/>
        </w:rPr>
        <w:t xml:space="preserve"> </w:t>
      </w:r>
      <w:r>
        <w:rPr>
          <w:rFonts w:ascii="Arial" w:hAnsi="Arial" w:cs="Arial"/>
          <w:color w:val="000000"/>
        </w:rPr>
        <w:t>crnogorski jezik</w:t>
      </w:r>
      <w:r>
        <w:rPr>
          <w:rFonts w:ascii="Arial" w:hAnsi="Arial" w:cs="Arial"/>
          <w:color w:val="000000"/>
          <w:lang w:val="sr-Latn-ME"/>
        </w:rPr>
        <w:t xml:space="preserve"> za ponudu u cjelini.</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b/>
          <w:color w:val="000000"/>
        </w:rPr>
      </w:pPr>
      <w:r>
        <w:rPr>
          <w:rFonts w:ascii="Arial" w:hAnsi="Arial" w:cs="Arial"/>
          <w:b/>
          <w:color w:val="000000"/>
        </w:rPr>
        <w:t xml:space="preserve">Ponude se podnose preko ESJN-a zaključno sa danom </w:t>
      </w:r>
      <w:r>
        <w:rPr>
          <w:rFonts w:ascii="Arial" w:hAnsi="Arial" w:cs="Arial"/>
          <w:b/>
          <w:color w:val="000000"/>
          <w:lang w:val="sr-Latn-ME"/>
        </w:rPr>
        <w:t>06.03</w:t>
      </w:r>
      <w:r>
        <w:rPr>
          <w:rFonts w:ascii="Arial" w:hAnsi="Arial" w:cs="Arial"/>
          <w:b/>
          <w:color w:val="000000"/>
        </w:rPr>
        <w:t>.202</w:t>
      </w:r>
      <w:r>
        <w:rPr>
          <w:rFonts w:ascii="Arial" w:hAnsi="Arial" w:cs="Arial"/>
          <w:b/>
          <w:color w:val="000000"/>
          <w:lang w:val="sr-Latn-ME"/>
        </w:rPr>
        <w:t>4</w:t>
      </w:r>
      <w:r>
        <w:rPr>
          <w:rFonts w:ascii="Arial" w:hAnsi="Arial" w:cs="Arial"/>
          <w:b/>
          <w:color w:val="000000"/>
        </w:rPr>
        <w:t xml:space="preserve">. godine do 10:00 sati. </w:t>
      </w:r>
    </w:p>
    <w:p>
      <w:pPr>
        <w:jc w:val="both"/>
        <w:rPr>
          <w:rFonts w:ascii="Arial" w:hAnsi="Arial" w:cs="Arial"/>
          <w:b/>
          <w:color w:val="000000"/>
        </w:rPr>
      </w:pPr>
    </w:p>
    <w:p>
      <w:pPr>
        <w:jc w:val="both"/>
        <w:rPr>
          <w:rFonts w:ascii="Arial" w:hAnsi="Arial" w:cs="Arial"/>
          <w:color w:val="000000"/>
        </w:rPr>
      </w:pPr>
      <w:r>
        <w:rPr>
          <w:rFonts w:ascii="Arial" w:hAnsi="Arial" w:cs="Arial"/>
          <w:color w:val="000000"/>
        </w:rPr>
        <w:t>Otvaranje ponuda održaće se dana</w:t>
      </w:r>
      <w:r>
        <w:rPr>
          <w:rFonts w:ascii="Arial" w:hAnsi="Arial" w:cs="Arial"/>
          <w:color w:val="000000"/>
          <w:lang w:val="sr-Latn-ME"/>
        </w:rPr>
        <w:t xml:space="preserve"> 06.03.2024</w:t>
      </w:r>
      <w:r>
        <w:rPr>
          <w:rFonts w:ascii="Arial" w:hAnsi="Arial" w:cs="Arial"/>
          <w:color w:val="000000"/>
        </w:rPr>
        <w:t>. godine u 10:</w:t>
      </w:r>
      <w:r>
        <w:rPr>
          <w:rFonts w:ascii="Arial" w:hAnsi="Arial" w:cs="Arial"/>
          <w:color w:val="000000"/>
          <w:lang w:val="sr-Latn-ME"/>
        </w:rPr>
        <w:t>0</w:t>
      </w:r>
      <w:r>
        <w:rPr>
          <w:rFonts w:ascii="Arial" w:hAnsi="Arial" w:cs="Arial"/>
          <w:color w:val="000000"/>
        </w:rPr>
        <w:t>0 sati.</w:t>
      </w:r>
    </w:p>
    <w:p>
      <w:pPr>
        <w:jc w:val="both"/>
        <w:rPr>
          <w:rFonts w:ascii="Arial" w:hAnsi="Arial" w:cs="Arial"/>
          <w:color w:val="000000"/>
        </w:rPr>
      </w:pPr>
      <w:r>
        <w:rPr>
          <w:rFonts w:ascii="Arial" w:hAnsi="Arial" w:cs="Arial"/>
          <w:color w:val="000000"/>
        </w:rPr>
        <w:t>Napomena: U skladu sa Zakonom o javnim nabavkama Izjava privrednog subjekta i garancija ponude podnose se u elektronskom obliku putem ESJN.</w:t>
      </w:r>
    </w:p>
    <w:p>
      <w:pPr>
        <w:jc w:val="both"/>
        <w:rPr>
          <w:rFonts w:ascii="Arial" w:hAnsi="Arial" w:cs="Arial"/>
          <w:i/>
          <w:iCs/>
          <w:color w:val="000000"/>
        </w:rPr>
      </w:pPr>
      <w:r>
        <w:rPr>
          <w:rFonts w:ascii="Arial" w:hAnsi="Arial" w:cs="Arial"/>
          <w:color w:val="000000"/>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jc w:val="both"/>
        <w:rPr>
          <w:rFonts w:ascii="Arial" w:hAnsi="Arial" w:cs="Arial"/>
          <w:color w:val="000000"/>
        </w:rPr>
      </w:pPr>
    </w:p>
    <w:p>
      <w:pPr>
        <w:numPr>
          <w:ilvl w:val="0"/>
          <w:numId w:val="7"/>
        </w:numPr>
        <w:jc w:val="both"/>
        <w:rPr>
          <w:rFonts w:ascii="Arial" w:hAnsi="Arial" w:cs="Arial"/>
          <w:color w:val="000000"/>
          <w:lang w:val="sr-Latn-ME"/>
        </w:rPr>
      </w:pPr>
      <w:r>
        <w:rPr>
          <w:rFonts w:ascii="Arial" w:hAnsi="Arial" w:cs="Arial"/>
          <w:color w:val="000000"/>
          <w:lang w:val="sr-Latn-ME"/>
        </w:rPr>
        <w:t xml:space="preserve"> </w:t>
      </w:r>
      <w:r>
        <w:rPr>
          <w:rFonts w:ascii="Arial" w:hAnsi="Arial" w:cs="Arial"/>
          <w:color w:val="000000"/>
        </w:rPr>
        <w:t>neposrednim podnošenjem na arhivi naručioca na adresi</w:t>
      </w:r>
      <w:r>
        <w:rPr>
          <w:rFonts w:ascii="Arial" w:hAnsi="Arial" w:cs="Arial"/>
          <w:color w:val="000000"/>
          <w:lang w:val="sr-Latn-ME"/>
        </w:rPr>
        <w:t xml:space="preserve"> Zabjelo,</w:t>
      </w:r>
      <w:r>
        <w:rPr>
          <w:rFonts w:ascii="Arial" w:hAnsi="Arial" w:cs="Arial"/>
          <w:color w:val="000000"/>
        </w:rPr>
        <w:t xml:space="preserve"> Zetskih Vladara 1/14</w:t>
      </w:r>
      <w:r>
        <w:rPr>
          <w:rFonts w:ascii="Arial" w:hAnsi="Arial" w:cs="Arial"/>
          <w:color w:val="000000"/>
          <w:lang w:val="sr-Latn-ME"/>
        </w:rPr>
        <w:t xml:space="preserve">  Lamela A (Južna kapija grada).</w:t>
      </w:r>
    </w:p>
    <w:p>
      <w:pPr>
        <w:numPr>
          <w:ilvl w:val="0"/>
          <w:numId w:val="7"/>
        </w:numPr>
        <w:jc w:val="both"/>
        <w:rPr>
          <w:rFonts w:ascii="Arial" w:hAnsi="Arial" w:cs="Arial"/>
          <w:color w:val="000000"/>
          <w:lang w:val="sr-Latn-ME"/>
        </w:rPr>
      </w:pPr>
      <w:r>
        <w:rPr>
          <w:rFonts w:ascii="Arial" w:hAnsi="Arial" w:cs="Arial"/>
          <w:color w:val="000000"/>
          <w:lang w:val="sr-Latn-ME"/>
        </w:rPr>
        <w:t xml:space="preserve"> </w:t>
      </w:r>
      <w:r>
        <w:rPr>
          <w:rFonts w:ascii="Arial" w:hAnsi="Arial" w:cs="Arial"/>
          <w:color w:val="000000"/>
        </w:rPr>
        <w:t>preporučenom pošiljkom sa povratnicom  na adresi</w:t>
      </w:r>
      <w:r>
        <w:rPr>
          <w:rFonts w:ascii="Arial" w:hAnsi="Arial" w:cs="Arial"/>
          <w:color w:val="000000"/>
          <w:lang w:val="sr-Latn-ME"/>
        </w:rPr>
        <w:t xml:space="preserve"> Zabjelo,</w:t>
      </w:r>
      <w:r>
        <w:rPr>
          <w:rFonts w:ascii="Arial" w:hAnsi="Arial" w:cs="Arial"/>
          <w:color w:val="000000"/>
        </w:rPr>
        <w:t xml:space="preserve"> Zetskih Vladara 1/14</w:t>
      </w:r>
      <w:r>
        <w:rPr>
          <w:rFonts w:ascii="Arial" w:hAnsi="Arial" w:cs="Arial"/>
          <w:color w:val="000000"/>
          <w:lang w:val="sr-Latn-ME"/>
        </w:rPr>
        <w:t xml:space="preserve">  Lamela A (Južna kapija grada).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t>radnim danima od 8:00 do 1</w:t>
      </w:r>
      <w:r>
        <w:rPr>
          <w:rFonts w:ascii="Arial" w:hAnsi="Arial" w:cs="Arial"/>
          <w:color w:val="000000"/>
          <w:lang w:val="sr-Latn-ME"/>
        </w:rPr>
        <w:t>6</w:t>
      </w:r>
      <w:r>
        <w:rPr>
          <w:rFonts w:ascii="Arial" w:hAnsi="Arial" w:cs="Arial"/>
          <w:color w:val="000000"/>
        </w:rPr>
        <w:t xml:space="preserve">:00 sati, zaključno sa danom </w:t>
      </w:r>
      <w:r>
        <w:rPr>
          <w:rFonts w:ascii="Arial" w:hAnsi="Arial" w:cs="Arial"/>
          <w:color w:val="000000"/>
          <w:lang w:val="sr-Latn-ME"/>
        </w:rPr>
        <w:t>06.03.2023</w:t>
      </w:r>
      <w:r>
        <w:rPr>
          <w:rFonts w:ascii="Arial" w:hAnsi="Arial" w:cs="Arial"/>
          <w:color w:val="000000"/>
        </w:rPr>
        <w:t xml:space="preserve">. godine do </w:t>
      </w:r>
      <w:r>
        <w:rPr>
          <w:rFonts w:ascii="Arial" w:hAnsi="Arial" w:cs="Arial"/>
          <w:color w:val="000000"/>
          <w:lang w:val="sr-Latn-ME"/>
        </w:rPr>
        <w:t>1</w:t>
      </w:r>
      <w:r>
        <w:rPr>
          <w:rFonts w:hint="default" w:ascii="Arial" w:hAnsi="Arial" w:cs="Arial"/>
          <w:color w:val="000000"/>
          <w:lang w:val="sr-Latn-ME"/>
        </w:rPr>
        <w:t>0</w:t>
      </w:r>
      <w:bookmarkStart w:id="18" w:name="_GoBack"/>
      <w:bookmarkEnd w:id="18"/>
      <w:r>
        <w:rPr>
          <w:rFonts w:ascii="Arial" w:hAnsi="Arial" w:cs="Arial"/>
          <w:color w:val="000000"/>
          <w:lang w:val="sr-Latn-ME"/>
        </w:rPr>
        <w:t>:00</w:t>
      </w:r>
      <w:r>
        <w:rPr>
          <w:rFonts w:ascii="Arial" w:hAnsi="Arial" w:cs="Arial"/>
          <w:color w:val="000000"/>
        </w:rPr>
        <w:t xml:space="preserve"> sati.</w:t>
      </w:r>
    </w:p>
    <w:p>
      <w:pPr>
        <w:jc w:val="both"/>
        <w:rPr>
          <w:rFonts w:ascii="Arial" w:hAnsi="Arial" w:cs="Arial"/>
          <w:color w:val="000000"/>
        </w:rPr>
      </w:pPr>
      <w:r>
        <w:rPr>
          <w:rFonts w:ascii="Arial" w:hAnsi="Arial" w:cs="Arial"/>
          <w:color w:val="000000"/>
        </w:rPr>
        <w:t>Napomena: Original garancije ponude u pisanom obliku dostavlja se u koverti, na kojoj se navodi: naziv i sjedište naručioca, broj tenderske dokumentacije za koju se podnosi garancija, naziv, sjedište i adresa ponuđača i naznake "garancija ponude" i "ne otvaraj prije roka za otvaranje ponuda".</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9" w:name="_Toc62730562"/>
      <w:r>
        <w:rPr>
          <w:rFonts w:ascii="Arial" w:hAnsi="Arial" w:cs="Arial"/>
          <w:b/>
        </w:rPr>
        <w:t>USLOVI ZA AKTIVIRANJE GARANCIJE PONUDE</w:t>
      </w:r>
      <w:r>
        <w:rPr>
          <w:rFonts w:ascii="Arial" w:hAnsi="Arial" w:cs="Arial"/>
          <w:b/>
          <w:vertAlign w:val="superscript"/>
        </w:rPr>
        <w:footnoteReference w:id="6"/>
      </w:r>
      <w:bookmarkEnd w:id="9"/>
    </w:p>
    <w:p>
      <w:pPr>
        <w:jc w:val="both"/>
        <w:rPr>
          <w:rFonts w:ascii="Arial" w:hAnsi="Arial" w:cs="Arial"/>
          <w:b/>
          <w:bCs/>
          <w:color w:val="000000"/>
        </w:rPr>
      </w:pPr>
    </w:p>
    <w:p>
      <w:pPr>
        <w:jc w:val="both"/>
        <w:rPr>
          <w:rFonts w:ascii="Arial" w:hAnsi="Arial" w:cs="Arial"/>
          <w:lang w:val="sr-Latn-ME"/>
        </w:rPr>
      </w:pPr>
      <w:bookmarkStart w:id="10" w:name="_Toc62730563"/>
      <w:r>
        <w:rPr>
          <w:rFonts w:ascii="Arial" w:hAnsi="Arial" w:cs="Arial"/>
          <w:lang w:val="sr-Latn-ME"/>
        </w:rPr>
        <w:t xml:space="preserve">Garancija ponude će se aktivirati ako ponuđač: </w:t>
      </w:r>
    </w:p>
    <w:p>
      <w:pPr>
        <w:pStyle w:val="12"/>
        <w:ind w:left="567" w:hanging="283"/>
        <w:rPr>
          <w:rFonts w:ascii="Arial" w:hAnsi="Arial" w:cs="Arial"/>
          <w:sz w:val="24"/>
          <w:szCs w:val="24"/>
          <w:lang w:val="sr-Latn-ME"/>
        </w:rPr>
      </w:pPr>
      <w:r>
        <w:rPr>
          <w:rFonts w:ascii="Arial" w:hAnsi="Arial" w:cs="Arial"/>
          <w:sz w:val="24"/>
          <w:szCs w:val="24"/>
          <w:lang w:val="sr-Latn-ME"/>
        </w:rPr>
        <w:t>1) odustane od ponude u roku važenja ponude i/ili</w:t>
      </w:r>
    </w:p>
    <w:p>
      <w:pPr>
        <w:pStyle w:val="12"/>
        <w:rPr>
          <w:rFonts w:ascii="Arial" w:hAnsi="Arial" w:cs="Arial"/>
          <w:sz w:val="24"/>
          <w:szCs w:val="24"/>
          <w:lang w:val="sr-Latn-ME"/>
        </w:rPr>
      </w:pPr>
      <w:r>
        <w:rPr>
          <w:rFonts w:ascii="Arial" w:hAnsi="Arial" w:cs="Arial"/>
          <w:sz w:val="24"/>
          <w:szCs w:val="24"/>
          <w:lang w:val="sr-Latn-ME"/>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r>
        <w:rPr>
          <w:rFonts w:ascii="Arial" w:hAnsi="Arial" w:cs="Arial"/>
          <w:color w:val="000000"/>
        </w:rPr>
        <w:t xml:space="preserve"> </w:t>
      </w: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eastAsia="Calibri" w:cs="Arial"/>
          <w:bCs/>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7"/>
      </w:r>
    </w:p>
    <w:p>
      <w:pPr>
        <w:jc w:val="both"/>
        <w:rPr>
          <w:rFonts w:ascii="Arial" w:hAnsi="Arial" w:cs="Arial"/>
          <w:color w:val="000000"/>
        </w:rPr>
      </w:pPr>
    </w:p>
    <w:p>
      <w:pPr>
        <w:jc w:val="both"/>
        <w:rPr>
          <w:rFonts w:ascii="Arial" w:hAnsi="Arial" w:cs="Arial"/>
          <w:b/>
          <w:bCs/>
        </w:rPr>
      </w:pPr>
      <w:r>
        <w:rPr>
          <w:rFonts w:ascii="Arial" w:hAnsi="Arial" w:cs="Arial"/>
          <w:b/>
          <w:bCs/>
        </w:rPr>
        <w:t>Ugovorna kazna:</w:t>
      </w:r>
    </w:p>
    <w:p>
      <w:pPr>
        <w:jc w:val="both"/>
        <w:rPr>
          <w:rFonts w:ascii="Arial" w:hAnsi="Arial" w:cs="Arial"/>
          <w:b/>
          <w:bCs/>
        </w:rPr>
      </w:pPr>
    </w:p>
    <w:p>
      <w:pPr>
        <w:jc w:val="both"/>
        <w:rPr>
          <w:rFonts w:ascii="Arial" w:hAnsi="Arial" w:cs="Arial"/>
        </w:rPr>
      </w:pPr>
      <w:r>
        <w:rPr>
          <w:rFonts w:ascii="Arial" w:hAnsi="Arial" w:cs="Arial"/>
        </w:rPr>
        <w:t>Ugovorne strane su saglasne da u postupku izvođenja radova, na zahtjev Naručioca, može doći do promjene količina po pojedinim pozicijama, s tim da ukupna vrijednost javne nabavke ne prelazi ugovoreni iznos iz ponude.</w:t>
      </w:r>
    </w:p>
    <w:p>
      <w:pPr>
        <w:jc w:val="both"/>
        <w:rPr>
          <w:rFonts w:ascii="Arial" w:hAnsi="Arial" w:cs="Arial"/>
        </w:rPr>
      </w:pPr>
    </w:p>
    <w:p>
      <w:pPr>
        <w:pStyle w:val="14"/>
        <w:ind w:left="0"/>
        <w:jc w:val="both"/>
        <w:rPr>
          <w:rFonts w:ascii="Arial" w:hAnsi="Arial" w:cs="Arial"/>
        </w:rPr>
      </w:pPr>
      <w:r>
        <w:rPr>
          <w:rFonts w:ascii="Arial" w:hAnsi="Arial" w:cs="Arial"/>
        </w:rPr>
        <w:t>Ako Izvođač bez krivice Naručioca ne završi radove koji su predmet ovog ugovora u ugovorenom roku, dužan je Naručiocu platiti na ime ugovorene kazne 2,0 ‰ (dva promila) od ugovorene cijene svih radova za svaki dan prekoračenja ugovorenog roka. Visina ugovorne kazne ne može preći 5% od ugovorene cijene radova.</w:t>
      </w:r>
    </w:p>
    <w:p>
      <w:pPr>
        <w:jc w:val="both"/>
        <w:rPr>
          <w:rFonts w:ascii="Arial" w:hAnsi="Arial" w:cs="Arial"/>
        </w:rPr>
      </w:pPr>
    </w:p>
    <w:p>
      <w:pPr>
        <w:jc w:val="both"/>
        <w:rPr>
          <w:rFonts w:ascii="Arial" w:hAnsi="Arial" w:cs="Arial"/>
        </w:rPr>
      </w:pPr>
      <w:r>
        <w:rPr>
          <w:rFonts w:ascii="Arial" w:hAnsi="Arial" w:cs="Arial"/>
        </w:rPr>
        <w:t>Izvođač se obavezuje, pošto se prethodno upoznao sa svim uslovima, pravima i obavezama  koje kao Izvođač ima u vezi sa izvršenjem svih radova koji su predmet ovog ugovora i za koje je dao svoju ponudu, da gore navedene radove izvede prema tenderskoj dokumentaciji i podnesenoj ponudi.</w:t>
      </w:r>
    </w:p>
    <w:p>
      <w:pPr>
        <w:jc w:val="both"/>
        <w:rPr>
          <w:rFonts w:ascii="Arial" w:hAnsi="Arial" w:cs="Arial"/>
        </w:rPr>
      </w:pPr>
    </w:p>
    <w:p>
      <w:pPr>
        <w:jc w:val="both"/>
        <w:rPr>
          <w:rFonts w:ascii="Arial" w:hAnsi="Arial" w:cs="Arial"/>
        </w:rPr>
      </w:pPr>
      <w:r>
        <w:rPr>
          <w:rFonts w:ascii="Arial" w:hAnsi="Arial" w:cs="Arial"/>
        </w:rPr>
        <w:t>Izvođač je odgovoran za radove i propuste bilo kog Podizvođača, njegovog predstavnika ili radnika, kao da su to radovi i propusti samog Izvođača.</w:t>
      </w:r>
    </w:p>
    <w:p>
      <w:pPr>
        <w:jc w:val="both"/>
        <w:rPr>
          <w:rFonts w:ascii="Arial" w:hAnsi="Arial" w:cs="Arial"/>
        </w:rPr>
      </w:pPr>
    </w:p>
    <w:p>
      <w:pPr>
        <w:jc w:val="both"/>
        <w:rPr>
          <w:rFonts w:ascii="Arial" w:hAnsi="Arial" w:eastAsia="Calibri" w:cs="Arial"/>
        </w:rPr>
      </w:pPr>
      <w:r>
        <w:rPr>
          <w:rFonts w:ascii="Arial" w:hAnsi="Arial" w:eastAsia="Calibri" w:cs="Arial"/>
        </w:rPr>
        <w:t xml:space="preserve">Ako Naručiocu nastane šteta zbog prekoračenja ugovorenog roka završetka radova u iznosu većem od ugovorenih i obračunatih penala – kazne, tada je Izvođač dužan da plati Naručiocu pored ugovorene kazne (penale) i iznos naknade štete koji prelazi visinu ugovorene kazne. </w:t>
      </w:r>
    </w:p>
    <w:p>
      <w:pPr>
        <w:jc w:val="both"/>
        <w:rPr>
          <w:rFonts w:ascii="Arial" w:hAnsi="Arial" w:cs="Arial"/>
        </w:rPr>
      </w:pPr>
      <w:r>
        <w:rPr>
          <w:rFonts w:ascii="Arial" w:hAnsi="Arial" w:cs="Arial"/>
        </w:rPr>
        <w:t>Garancija za dobro izvršenje ugovora za slučaj povrede ugovorenih obaveza treba da važi 10 dana duže od roka izvršenja ugovora.</w:t>
      </w:r>
    </w:p>
    <w:p>
      <w:pPr>
        <w:jc w:val="both"/>
        <w:rPr>
          <w:rFonts w:ascii="Arial" w:hAnsi="Arial" w:cs="Arial"/>
        </w:rPr>
      </w:pPr>
      <w:r>
        <w:rPr>
          <w:rFonts w:ascii="Arial" w:hAnsi="Arial" w:cs="Arial"/>
        </w:rPr>
        <w:t>Ako Izvođač ne preda naručiocu garanciju za dobro izvršenje ugovora u momentu zaključenja ugovora, smatra se da je odustao od ponude.</w:t>
      </w:r>
    </w:p>
    <w:p>
      <w:pPr>
        <w:jc w:val="both"/>
        <w:rPr>
          <w:rFonts w:ascii="Arial" w:hAnsi="Arial" w:cs="Arial"/>
        </w:rPr>
      </w:pPr>
      <w:r>
        <w:rPr>
          <w:rFonts w:ascii="Arial" w:hAnsi="Arial" w:cs="Arial"/>
        </w:rPr>
        <w:t xml:space="preserve">Naručilac će aktivirati garanciju ponude. </w:t>
      </w:r>
    </w:p>
    <w:p>
      <w:pPr>
        <w:jc w:val="both"/>
        <w:rPr>
          <w:rFonts w:ascii="Arial" w:hAnsi="Arial" w:cs="Arial"/>
        </w:rPr>
      </w:pPr>
      <w:r>
        <w:rPr>
          <w:rFonts w:ascii="Arial" w:hAnsi="Arial" w:cs="Arial"/>
        </w:rPr>
        <w:t>Ako Izvođač ne produži važenje garancije za dobro izvršenje ugovora, Naručilac će aktivirati ovu garanciju i zahtijevati naknadu štete u iznosu od 10% od ponuđenog iznosa ponude, a ponuđač je dužan naknaditi tu štetu.</w:t>
      </w:r>
    </w:p>
    <w:p>
      <w:pPr>
        <w:jc w:val="both"/>
        <w:rPr>
          <w:rFonts w:ascii="Arial" w:hAnsi="Arial" w:cs="Arial"/>
        </w:rPr>
      </w:pPr>
    </w:p>
    <w:p>
      <w:pPr>
        <w:jc w:val="both"/>
        <w:rPr>
          <w:rFonts w:ascii="Arial" w:hAnsi="Arial" w:eastAsia="PMingLiU" w:cs="Arial"/>
          <w:b/>
          <w:bCs/>
        </w:rPr>
      </w:pPr>
      <w:r>
        <w:rPr>
          <w:rFonts w:ascii="Arial" w:hAnsi="Arial" w:eastAsia="PMingLiU" w:cs="Arial"/>
          <w:b/>
          <w:bCs/>
        </w:rPr>
        <w:t>Raskid ugovora:</w:t>
      </w:r>
    </w:p>
    <w:p>
      <w:pPr>
        <w:jc w:val="both"/>
        <w:rPr>
          <w:rFonts w:ascii="Arial" w:hAnsi="Arial" w:eastAsia="PMingLiU" w:cs="Arial"/>
        </w:rPr>
      </w:pPr>
    </w:p>
    <w:p>
      <w:pPr>
        <w:jc w:val="both"/>
        <w:rPr>
          <w:rFonts w:ascii="Arial" w:hAnsi="Arial" w:cs="Arial"/>
        </w:rPr>
      </w:pPr>
      <w:r>
        <w:rPr>
          <w:rFonts w:ascii="Arial" w:hAnsi="Arial" w:cs="Arial"/>
        </w:rPr>
        <w:t xml:space="preserve">Ugovorne strane su saglasne da do raskida ovog Ugovora može doći ako Izvođač ne bude izvršavao svoje obaveze u rokovima i na način predviđen Ugovorom: </w:t>
      </w:r>
    </w:p>
    <w:p>
      <w:pPr>
        <w:jc w:val="both"/>
        <w:rPr>
          <w:rFonts w:ascii="Arial" w:hAnsi="Arial" w:cs="Arial"/>
        </w:rPr>
      </w:pPr>
    </w:p>
    <w:p>
      <w:pPr>
        <w:jc w:val="both"/>
        <w:rPr>
          <w:rFonts w:ascii="Arial" w:hAnsi="Arial" w:cs="Arial"/>
        </w:rPr>
      </w:pPr>
      <w:r>
        <w:rPr>
          <w:rFonts w:ascii="Arial" w:hAnsi="Arial" w:cs="Arial"/>
        </w:rPr>
        <w:t xml:space="preserve">U slučaju kada Naručilac ustanovi da radovi koji su predmet ovog ugovora ili rok za izvršenje radova odstupa od ponuđene iz ponude Izvođača,  </w:t>
      </w:r>
    </w:p>
    <w:p>
      <w:pPr>
        <w:jc w:val="both"/>
        <w:rPr>
          <w:rFonts w:ascii="Arial" w:hAnsi="Arial" w:cs="Arial"/>
        </w:rPr>
      </w:pPr>
      <w:r>
        <w:rPr>
          <w:rFonts w:ascii="Arial" w:hAnsi="Arial" w:cs="Arial"/>
        </w:rPr>
        <w:t>Naručilac je obavezan da u slučaju uočavanja propusta u obavljanju posla pisanim putem pozove Izvođača i da putem Zapisnika zajednički konstatuju uzrok i obim uočenih propusta. Ukoliko se Izvođač ne odazove pozivu Naručioca u roku od 48h, Naručilac ima pravo da raskine ugovor i aktivira garanciju.</w:t>
      </w:r>
      <w:r>
        <w:rPr>
          <w:rFonts w:ascii="Arial" w:hAnsi="Arial" w:cs="Arial"/>
        </w:rPr>
        <w:tab/>
      </w:r>
    </w:p>
    <w:p>
      <w:pPr>
        <w:jc w:val="both"/>
        <w:rPr>
          <w:rFonts w:ascii="Arial" w:hAnsi="Arial" w:cs="Arial"/>
        </w:rPr>
      </w:pPr>
    </w:p>
    <w:p>
      <w:pPr>
        <w:jc w:val="both"/>
        <w:rPr>
          <w:rFonts w:ascii="Arial" w:hAnsi="Arial" w:cs="Arial"/>
        </w:rPr>
      </w:pPr>
      <w:r>
        <w:rPr>
          <w:rFonts w:ascii="Arial" w:hAnsi="Arial" w:cs="Arial"/>
        </w:rPr>
        <w:t>Ako strane ugovora sporazumno raskinu ugovor, sporazumom o raskidu ugovora utvrđuju se međusobna prava i obaveze koje proističu iz raskida ugovora.</w:t>
      </w:r>
    </w:p>
    <w:p>
      <w:pPr>
        <w:jc w:val="both"/>
        <w:rPr>
          <w:rFonts w:ascii="Arial" w:hAnsi="Arial" w:cs="Arial"/>
        </w:rPr>
      </w:pPr>
    </w:p>
    <w:p>
      <w:pPr>
        <w:jc w:val="both"/>
        <w:rPr>
          <w:rFonts w:ascii="Arial" w:hAnsi="Arial" w:cs="Arial"/>
        </w:rPr>
      </w:pPr>
      <w:r>
        <w:rPr>
          <w:rFonts w:ascii="Arial" w:hAnsi="Arial" w:cs="Arial"/>
        </w:rPr>
        <w:t>Izvođač je dužan da na gradilištu preduzme mjere radi obezbjeđenja sigurnosti izvedenih radova susjednih objekata i radova, opreme, uređenje, instalacija, saobraćaja, okoline i imovine i neposredno je odgovoran i dužan nadoknaditi sve štete koje izvođenjem ugovorenih radova pričini trećim licima i imovini. Troškove sprovođenja mjera zaštite snosi Izvođač.</w:t>
      </w:r>
    </w:p>
    <w:p>
      <w:pPr>
        <w:jc w:val="both"/>
        <w:rPr>
          <w:rFonts w:ascii="Arial" w:hAnsi="Arial" w:cs="Arial"/>
        </w:rPr>
      </w:pPr>
    </w:p>
    <w:p>
      <w:pPr>
        <w:jc w:val="both"/>
        <w:rPr>
          <w:rFonts w:ascii="Arial" w:hAnsi="Arial" w:eastAsia="Calibri" w:cs="Arial"/>
          <w:bCs/>
          <w:lang w:val="sr-Latn-ME"/>
        </w:rPr>
      </w:pPr>
      <w:r>
        <w:rPr>
          <w:rFonts w:ascii="Arial" w:hAnsi="Arial" w:eastAsia="sans-serif" w:cs="Arial"/>
        </w:rPr>
        <w:t xml:space="preserve">Način sprovođenja kontrole kvaliteta: Naručilac će imenovati stručno lice/a koje/a će vršiti nadzor nad predmetnim radovima i izvršiti kontrolu da li izvedeni radovi odgovaraju opisu i bitnim karakteristikama koji su definisani Tenderskom dokumentacijom i Ponudom Dobavljača. Ako se zapisnički utvrdi da radovi koje je Dobavljač izveo za potrebe Naručioca, imaju tehničke nedostatke, Dobavljač mora iste otkloniti nakasnije u roku od 7 dana od dana sačinjavanja zapisnika. Ukoliko se Dobavljač ne postupi u skladu sa traženim, naručilac će raskinuti Ugovor i aktivirati Garanciju za dobro izvršenje ugovora. </w:t>
      </w:r>
    </w:p>
    <w:p>
      <w:pPr>
        <w:jc w:val="both"/>
        <w:rPr>
          <w:rFonts w:ascii="Arial" w:hAnsi="Arial" w:cs="Arial"/>
        </w:rPr>
      </w:pPr>
    </w:p>
    <w:p>
      <w:pPr>
        <w:spacing w:after="240"/>
        <w:jc w:val="both"/>
        <w:rPr>
          <w:rFonts w:ascii="Arial" w:hAnsi="Arial" w:cs="Arial"/>
        </w:rPr>
      </w:pPr>
      <w:r>
        <w:rPr>
          <w:rFonts w:ascii="Arial" w:hAnsi="Arial" w:cs="Arial"/>
        </w:rPr>
        <w:t>Izvođač je dužan da po završenim radovima povuče sa predmetne lokacije svoje radnike, ukloni preostali materijal, opremu, sredstva za rad i očisti lokaciju od otpadaka koje je napravio.</w:t>
      </w:r>
    </w:p>
    <w:p>
      <w:pPr>
        <w:jc w:val="both"/>
        <w:rPr>
          <w:rFonts w:ascii="Arial" w:hAnsi="Arial" w:cs="Arial"/>
        </w:rPr>
      </w:pPr>
      <w:r>
        <w:rPr>
          <w:rFonts w:ascii="Arial" w:hAnsi="Arial" w:cs="Arial"/>
        </w:rPr>
        <w:sym w:font="Wingdings" w:char="F0A8"/>
      </w:r>
      <w:r>
        <w:rPr>
          <w:rFonts w:ascii="Arial" w:hAnsi="Arial" w:cs="Arial"/>
        </w:rPr>
        <w:t xml:space="preserve"> Ugovor o javnoj nabavci tokom njegovog trajanja može da se izmijeni bez sprovođenja novog postupka javne nabavke u skladu sa članom 151 Zakona o javnim nabavkama: </w:t>
      </w:r>
    </w:p>
    <w:p>
      <w:pPr>
        <w:jc w:val="both"/>
        <w:rPr>
          <w:rFonts w:ascii="Arial" w:hAnsi="Arial" w:cs="Arial"/>
          <w:color w:val="000000"/>
        </w:rPr>
      </w:pPr>
    </w:p>
    <w:p>
      <w:pPr>
        <w:jc w:val="both"/>
        <w:rPr>
          <w:rFonts w:ascii="Arial" w:hAnsi="Arial" w:cs="Arial"/>
          <w:color w:val="000000"/>
        </w:rPr>
      </w:pPr>
      <w:r>
        <w:rPr>
          <w:rFonts w:ascii="Arial" w:hAnsi="Arial" w:cs="Arial"/>
          <w:color w:val="000000"/>
        </w:rPr>
        <w:t>1) Ako su izmjene bez obzira na njihovu vrijednost izražene u novcu, predviđene tenderskom dokumentacijom i ugovorom o javnoj nabavci i uključuju izmjenu cijene ili varijante, sa utvrđenim obimom i prirodom mogućih izmjena ili varijanti, kao i uslovima u kojima se izmjene mogu vršiti, pod uslovom da se ugovorom ne predviđaju izmjene kojima se mijenja ukupna priroda ugovora o javnoj nabavci, a povećanje vrijednosti ugovora nije veće od 20% vrijednosti prvobitnog ugovora.</w:t>
      </w:r>
    </w:p>
    <w:p>
      <w:pPr>
        <w:jc w:val="both"/>
        <w:rPr>
          <w:rFonts w:ascii="Arial" w:hAnsi="Arial" w:cs="Arial"/>
          <w:color w:val="000000"/>
        </w:rPr>
      </w:pPr>
    </w:p>
    <w:p>
      <w:pPr>
        <w:jc w:val="both"/>
        <w:rPr>
          <w:rFonts w:ascii="Arial" w:hAnsi="Arial" w:cs="Arial"/>
          <w:color w:val="000000"/>
        </w:rPr>
      </w:pPr>
      <w:r>
        <w:rPr>
          <w:rFonts w:ascii="Arial" w:hAnsi="Arial" w:cs="Arial"/>
          <w:color w:val="000000"/>
        </w:rPr>
        <w:t>2) radi nabavke dodatnih roba, usluga ili radova, koji su postali neophodni, a koji nijesu bili uključeni u prvobitni ugovor o javnoj nabavci, ako promjena privrednog subjekta sa kojim je zaključen ugovor nije moguća iz ekonomskih ili tehničkih razloga, kao što su zahtjevi kompatibilnosti sa postojećom opremom, uslugama ili radovima nabavljenim u okviru prvobitne nabavke i može da prouzrokuje značajne poteškoće ili znatno povećavanje troškova za naručioca a povećanje vrijednosti ugovora nije veće od 20% vrijednosti prvobitnog ugovora,</w:t>
      </w:r>
    </w:p>
    <w:p>
      <w:pPr>
        <w:jc w:val="both"/>
        <w:rPr>
          <w:rFonts w:ascii="Arial" w:hAnsi="Arial" w:cs="Arial"/>
          <w:color w:val="000000"/>
        </w:rPr>
      </w:pPr>
    </w:p>
    <w:p>
      <w:pPr>
        <w:jc w:val="both"/>
        <w:rPr>
          <w:rFonts w:ascii="Arial" w:hAnsi="Arial" w:cs="Arial"/>
          <w:color w:val="000000"/>
        </w:rPr>
      </w:pPr>
      <w:r>
        <w:rPr>
          <w:rFonts w:ascii="Arial" w:hAnsi="Arial" w:cs="Arial"/>
          <w:color w:val="000000"/>
        </w:rPr>
        <w:t>3)kada je potreba za izmjenom ugovora nastala zbog okolnosti koje naručilac u vrijeme zaključivanja ugovora nije mogao da predvidi, a izmjenom se ne mijenja priroda ugovora a povećanje vrijednosti ugovora nije veće od 20% vrijednosti prvobitnog ugovora.</w:t>
      </w:r>
    </w:p>
    <w:p>
      <w:pPr>
        <w:jc w:val="both"/>
        <w:rPr>
          <w:rFonts w:ascii="Arial" w:hAnsi="Arial" w:cs="Arial"/>
          <w:color w:val="000000"/>
        </w:rPr>
      </w:pPr>
      <w:r>
        <w:rPr>
          <w:rFonts w:ascii="Arial" w:hAnsi="Arial" w:cs="Arial"/>
          <w:color w:val="000000"/>
        </w:rPr>
        <w:t>3 a) kada je potreba za izmjenom ugovora nastala zbog okolnosti koje naručilac u vrijeme zaključivanja ugovora nije mogao da predvidi, a izmjenom se ne mijenja priroda ugovora već se vrši samo smanjenje ugovorene vrijednosti.</w:t>
      </w:r>
    </w:p>
    <w:p>
      <w:pPr>
        <w:jc w:val="both"/>
        <w:rPr>
          <w:rFonts w:ascii="Arial" w:hAnsi="Arial" w:cs="Arial"/>
          <w:color w:val="000000"/>
        </w:rPr>
      </w:pPr>
      <w:r>
        <w:rPr>
          <w:rFonts w:ascii="Arial" w:hAnsi="Arial" w:cs="Arial"/>
          <w:color w:val="000000"/>
        </w:rPr>
        <w:t>3 b) kada se vrši zamjena podugovarača u skladu sa članom 128 st.10,11, i 12 Zakona.</w:t>
      </w:r>
    </w:p>
    <w:p>
      <w:pPr>
        <w:jc w:val="both"/>
        <w:rPr>
          <w:rFonts w:ascii="Arial" w:hAnsi="Arial" w:cs="Arial"/>
          <w:color w:val="000000"/>
        </w:rPr>
      </w:pPr>
      <w:r>
        <w:rPr>
          <w:rFonts w:ascii="Arial" w:hAnsi="Arial" w:cs="Arial"/>
          <w:color w:val="000000"/>
        </w:rPr>
        <w:t>4) ako privrednog subjekta nakon restrukturiranja, uključujući preuzimanje, spajanje, kupovinu ili stečaj, zamjenjuje u potpunosti ili djelimično novi pravni sljedbenik, odnosno privredni subjekat, koji ispunjava prvobitno određene uslove zaključenog ugovora o javnoj nabavci, a izmjene su predviđene tenderskom dokumentacijom, pod uslovom da se ne vrše druge bitne izmjene ugovora iz člana 150 stav 2 ovog zakona.</w:t>
      </w:r>
    </w:p>
    <w:p>
      <w:pPr>
        <w:jc w:val="both"/>
        <w:rPr>
          <w:rFonts w:ascii="Arial" w:hAnsi="Arial" w:cs="Arial"/>
          <w:color w:val="000000"/>
        </w:rPr>
      </w:pPr>
    </w:p>
    <w:p>
      <w:pPr>
        <w:jc w:val="both"/>
        <w:rPr>
          <w:rFonts w:ascii="Arial" w:hAnsi="Arial" w:cs="Arial"/>
          <w:color w:val="000000"/>
        </w:rPr>
      </w:pPr>
      <w:r>
        <w:rPr>
          <w:rFonts w:ascii="Arial" w:hAnsi="Arial" w:cs="Arial"/>
          <w:color w:val="000000"/>
        </w:rPr>
        <w:t>Izvođač je dužan da potpiše Ugovor u roku od 15 dana od dana dostavljanja, i u istom roku vrati Naručiocu potpisan ugovorzajedno sa garancijom za dobro izvršenje ugovora.</w:t>
      </w:r>
    </w:p>
    <w:p>
      <w:pPr>
        <w:jc w:val="both"/>
        <w:rPr>
          <w:rFonts w:ascii="Arial" w:hAnsi="Arial" w:cs="Arial"/>
          <w:color w:val="000000"/>
        </w:rPr>
      </w:pPr>
    </w:p>
    <w:p>
      <w:pPr>
        <w:jc w:val="both"/>
        <w:rPr>
          <w:rFonts w:ascii="Arial" w:hAnsi="Arial" w:cs="Arial"/>
          <w:color w:val="000000"/>
        </w:rPr>
      </w:pPr>
      <w:r>
        <w:rPr>
          <w:rFonts w:ascii="Arial" w:hAnsi="Arial" w:cs="Arial"/>
          <w:color w:val="000000"/>
        </w:rPr>
        <w:t>Ugovor o javnoj nabavci koji je zaključen uz kršenje antikorupcijskog pravila u skladu sa odredbama člana 38 ZJN (Sl.list Crne Gore br. 74/19</w:t>
      </w:r>
      <w:r>
        <w:rPr>
          <w:rFonts w:ascii="Arial" w:hAnsi="Arial" w:cs="Arial"/>
          <w:color w:val="000000"/>
          <w:lang w:val="sr-Latn-ME"/>
        </w:rPr>
        <w:t>, 03/23 i 11/23</w:t>
      </w:r>
      <w:r>
        <w:rPr>
          <w:rFonts w:ascii="Arial" w:hAnsi="Arial" w:cs="Arial"/>
          <w:color w:val="000000"/>
        </w:rPr>
        <w:t>) ništav je.</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rPr>
      </w:pPr>
      <w:r>
        <w:rPr>
          <w:rFonts w:ascii="Arial" w:hAnsi="Arial" w:cs="Arial"/>
        </w:rPr>
        <w:t>Privredni subjekat ima pravo da pisanim zahtjevom traži od naručioca pojašnjenje tenderske dokumentacije najkasnije deset dana prije isteka roka određenog za dostavljanje ponuda.</w:t>
      </w:r>
    </w:p>
    <w:p>
      <w:pPr>
        <w:jc w:val="both"/>
        <w:rPr>
          <w:rFonts w:ascii="Arial" w:hAnsi="Arial" w:cs="Arial"/>
        </w:rPr>
      </w:pPr>
    </w:p>
    <w:p>
      <w:pPr>
        <w:jc w:val="both"/>
        <w:rPr>
          <w:rFonts w:ascii="Arial" w:hAnsi="Arial" w:cs="Arial"/>
          <w:color w:val="000000"/>
        </w:rPr>
      </w:pPr>
      <w:r>
        <w:rPr>
          <w:rFonts w:ascii="Arial" w:hAnsi="Arial" w:cs="Arial"/>
          <w:color w:val="000000"/>
        </w:rPr>
        <w:t>Zahtjev se podnosi isključivo putem ESJN-a.</w:t>
      </w: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jc w:val="both"/>
        <w:rPr>
          <w:rFonts w:ascii="Arial" w:hAnsi="Arial" w:cs="Arial"/>
          <w:color w:val="000000"/>
        </w:rPr>
      </w:pPr>
    </w:p>
    <w:p>
      <w:pPr>
        <w:rPr>
          <w:rFonts w:ascii="Arial" w:hAnsi="Arial" w:cs="Arial"/>
          <w:color w:val="000000"/>
        </w:rPr>
      </w:pPr>
      <w:r>
        <w:rPr>
          <w:rFonts w:ascii="Arial" w:hAnsi="Arial" w:cs="Arial"/>
          <w:color w:val="000000"/>
        </w:rPr>
        <w:br w:type="page"/>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color w:val="000000"/>
          <w:u w:val="single"/>
        </w:rPr>
      </w:pPr>
      <w:bookmarkStart w:id="14" w:name="_Toc508349235"/>
      <w:bookmarkStart w:id="15" w:name="_Toc62730567"/>
      <w:bookmarkStart w:id="16" w:name="_Toc416180136"/>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sz w:val="22"/>
          <w:szCs w:val="22"/>
          <w:lang w:val="sr-Latn-ME"/>
        </w:rPr>
      </w:pPr>
      <w:r>
        <w:rPr>
          <w:rFonts w:ascii="Arial" w:hAnsi="Arial" w:cs="Arial"/>
          <w:sz w:val="22"/>
          <w:szCs w:val="22"/>
          <w:lang w:val="sr-Latn-ME"/>
        </w:rPr>
        <w:t>Putevi doo Podgorica</w:t>
      </w:r>
    </w:p>
    <w:p>
      <w:pPr>
        <w:jc w:val="both"/>
        <w:rPr>
          <w:rFonts w:ascii="Arial" w:hAnsi="Arial" w:cs="Arial"/>
          <w:sz w:val="22"/>
          <w:szCs w:val="22"/>
          <w:lang w:val="sr-Latn-ME"/>
        </w:rPr>
      </w:pPr>
      <w:r>
        <w:rPr>
          <w:rFonts w:ascii="Arial" w:hAnsi="Arial" w:cs="Arial"/>
          <w:sz w:val="22"/>
          <w:szCs w:val="22"/>
        </w:rPr>
        <w:t>Broj: 1291</w:t>
      </w:r>
    </w:p>
    <w:p>
      <w:pPr>
        <w:jc w:val="both"/>
        <w:rPr>
          <w:rFonts w:ascii="Arial" w:hAnsi="Arial" w:cs="Arial"/>
          <w:sz w:val="22"/>
          <w:szCs w:val="22"/>
          <w:lang w:val="sr-Latn-ME"/>
        </w:rPr>
      </w:pPr>
      <w:r>
        <w:rPr>
          <w:rFonts w:ascii="Arial" w:hAnsi="Arial" w:cs="Arial"/>
          <w:sz w:val="22"/>
          <w:szCs w:val="22"/>
        </w:rPr>
        <w:t>Mjesto i datum:</w:t>
      </w:r>
      <w:r>
        <w:rPr>
          <w:rFonts w:ascii="Arial" w:hAnsi="Arial" w:cs="Arial"/>
          <w:sz w:val="22"/>
          <w:szCs w:val="22"/>
          <w:lang w:val="sr-Latn-ME"/>
        </w:rPr>
        <w:t xml:space="preserve"> Podgorica, 19.02.2024. godine</w:t>
      </w:r>
    </w:p>
    <w:p>
      <w:pPr>
        <w:jc w:val="both"/>
        <w:rPr>
          <w:rFonts w:ascii="Arial" w:hAnsi="Arial" w:cs="Arial"/>
          <w:sz w:val="22"/>
          <w:szCs w:val="22"/>
          <w:lang w:val="sr-Latn-ME"/>
        </w:rPr>
      </w:pPr>
    </w:p>
    <w:p>
      <w:pPr>
        <w:tabs>
          <w:tab w:val="left" w:pos="3290"/>
        </w:tabs>
        <w:ind w:firstLine="708"/>
        <w:jc w:val="both"/>
        <w:rPr>
          <w:rFonts w:ascii="Arial" w:hAnsi="Arial" w:cs="Arial"/>
          <w:color w:val="000000"/>
          <w:sz w:val="22"/>
          <w:szCs w:val="22"/>
        </w:rPr>
      </w:pPr>
      <w:r>
        <w:rPr>
          <w:rFonts w:ascii="Arial" w:hAnsi="Arial" w:cs="Arial"/>
          <w:color w:val="000000"/>
          <w:sz w:val="22"/>
          <w:szCs w:val="22"/>
        </w:rPr>
        <w:t>U skladu sa članom 43 stav 1 Zakona o javnim nabavkama („Službeni list CG”, br.74/19</w:t>
      </w:r>
      <w:r>
        <w:rPr>
          <w:rFonts w:ascii="Arial" w:hAnsi="Arial" w:cs="Arial"/>
          <w:color w:val="000000"/>
          <w:sz w:val="22"/>
          <w:szCs w:val="22"/>
          <w:lang w:val="sr-Latn-ME"/>
        </w:rPr>
        <w:t xml:space="preserve"> i 3/23</w:t>
      </w:r>
      <w:r>
        <w:rPr>
          <w:rFonts w:ascii="Arial" w:hAnsi="Arial" w:cs="Arial"/>
          <w:color w:val="000000"/>
          <w:sz w:val="22"/>
          <w:szCs w:val="22"/>
        </w:rPr>
        <w:t xml:space="preserve">), </w:t>
      </w:r>
    </w:p>
    <w:p>
      <w:pPr>
        <w:tabs>
          <w:tab w:val="left" w:pos="3290"/>
        </w:tabs>
        <w:jc w:val="both"/>
        <w:rPr>
          <w:rFonts w:ascii="Arial" w:hAnsi="Arial" w:cs="Arial"/>
          <w:color w:val="000000"/>
        </w:rPr>
      </w:pPr>
    </w:p>
    <w:p>
      <w:pPr>
        <w:tabs>
          <w:tab w:val="left" w:pos="3290"/>
        </w:tabs>
        <w:jc w:val="center"/>
        <w:rPr>
          <w:rFonts w:ascii="Arial" w:hAnsi="Arial" w:cs="Arial"/>
          <w:b/>
          <w:bCs/>
          <w:color w:val="000000"/>
        </w:rPr>
      </w:pPr>
      <w:r>
        <w:rPr>
          <w:rFonts w:ascii="Arial" w:hAnsi="Arial" w:cs="Arial"/>
          <w:b/>
          <w:bCs/>
          <w:color w:val="000000"/>
        </w:rPr>
        <w:t>Izjavljujem</w:t>
      </w:r>
    </w:p>
    <w:p>
      <w:pPr>
        <w:tabs>
          <w:tab w:val="left" w:pos="3290"/>
        </w:tabs>
        <w:jc w:val="center"/>
        <w:rPr>
          <w:rFonts w:ascii="Arial" w:hAnsi="Arial" w:cs="Arial"/>
          <w:b/>
          <w:bCs/>
          <w:color w:val="000000"/>
        </w:rPr>
      </w:pPr>
    </w:p>
    <w:p>
      <w:pPr>
        <w:jc w:val="both"/>
        <w:rPr>
          <w:rFonts w:ascii="Arial" w:hAnsi="Arial" w:cs="Arial"/>
          <w:sz w:val="22"/>
          <w:szCs w:val="22"/>
        </w:rPr>
      </w:pPr>
      <w:r>
        <w:rPr>
          <w:rFonts w:ascii="Arial" w:hAnsi="Arial" w:cs="Arial"/>
          <w:sz w:val="22"/>
          <w:szCs w:val="22"/>
        </w:rPr>
        <w:t xml:space="preserve">da u postupku javne nabavke redni broj </w:t>
      </w:r>
      <w:r>
        <w:rPr>
          <w:rFonts w:ascii="Arial" w:hAnsi="Arial" w:cs="Arial"/>
          <w:sz w:val="22"/>
          <w:szCs w:val="22"/>
          <w:lang w:val="sr-Latn-ME"/>
        </w:rPr>
        <w:t>5</w:t>
      </w:r>
      <w:r>
        <w:rPr>
          <w:rFonts w:ascii="Arial" w:hAnsi="Arial" w:cs="Arial"/>
          <w:sz w:val="22"/>
          <w:szCs w:val="22"/>
        </w:rPr>
        <w:t xml:space="preserve"> iz Plana javn</w:t>
      </w:r>
      <w:r>
        <w:rPr>
          <w:rFonts w:ascii="Arial" w:hAnsi="Arial" w:cs="Arial"/>
          <w:sz w:val="22"/>
          <w:szCs w:val="22"/>
          <w:lang w:val="sr-Latn-ME"/>
        </w:rPr>
        <w:t>ih</w:t>
      </w:r>
      <w:r>
        <w:rPr>
          <w:rFonts w:ascii="Arial" w:hAnsi="Arial" w:cs="Arial"/>
          <w:sz w:val="22"/>
          <w:szCs w:val="22"/>
        </w:rPr>
        <w:t xml:space="preserve"> nabavk</w:t>
      </w:r>
      <w:r>
        <w:rPr>
          <w:rFonts w:ascii="Arial" w:hAnsi="Arial" w:cs="Arial"/>
          <w:sz w:val="22"/>
          <w:szCs w:val="22"/>
          <w:lang w:val="sr-Latn-ME"/>
        </w:rPr>
        <w:t>i br. 301,</w:t>
      </w:r>
      <w:r>
        <w:rPr>
          <w:rFonts w:ascii="Arial" w:hAnsi="Arial" w:cs="Arial"/>
          <w:sz w:val="22"/>
          <w:szCs w:val="22"/>
          <w:lang w:val="pl-PL"/>
        </w:rPr>
        <w:t xml:space="preserve"> objavljenog na portalu Direktorata za politiku javnih nabavki, dana 24. januara 2024.godine, pod brojem 18362</w:t>
      </w:r>
      <w:r>
        <w:rPr>
          <w:rFonts w:ascii="Arial" w:hAnsi="Arial" w:cs="Arial"/>
          <w:sz w:val="22"/>
          <w:szCs w:val="22"/>
        </w:rPr>
        <w:t>, za nabavku radova na održavanju puteva, radovi na izgradnji puteva, radovi na betoniranju</w:t>
      </w:r>
      <w:r>
        <w:rPr>
          <w:rFonts w:ascii="Arial" w:hAnsi="Arial" w:cs="Arial"/>
          <w:color w:val="000000"/>
          <w:sz w:val="22"/>
          <w:szCs w:val="22"/>
          <w:lang w:val="sr-Latn-ME"/>
        </w:rPr>
        <w:t xml:space="preserve">, </w:t>
      </w:r>
      <w:r>
        <w:rPr>
          <w:rFonts w:ascii="Arial" w:hAnsi="Arial" w:cs="Arial"/>
          <w:sz w:val="22"/>
          <w:szCs w:val="22"/>
        </w:rPr>
        <w:t>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sz w:val="22"/>
          <w:szCs w:val="22"/>
        </w:rPr>
      </w:pPr>
    </w:p>
    <w:p>
      <w:pPr>
        <w:jc w:val="center"/>
        <w:rPr>
          <w:rFonts w:ascii="Arial" w:hAnsi="Arial" w:cs="Arial"/>
          <w:b/>
          <w:color w:val="000000"/>
          <w:sz w:val="22"/>
          <w:szCs w:val="22"/>
        </w:rPr>
      </w:pPr>
      <w:r>
        <w:rPr>
          <w:rFonts w:ascii="Arial" w:hAnsi="Arial" w:cs="Arial"/>
          <w:color w:val="000000"/>
        </w:rPr>
        <w:t xml:space="preserve">                                                                                                      </w:t>
      </w:r>
      <w:r>
        <w:rPr>
          <w:rFonts w:ascii="Arial" w:hAnsi="Arial" w:cs="Arial"/>
          <w:color w:val="000000"/>
          <w:lang w:val="sr-Latn-ME"/>
        </w:rPr>
        <w:t xml:space="preserve"> </w:t>
      </w: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lang w:val="sr-Latn-ME"/>
        </w:rPr>
      </w:pPr>
      <w:r>
        <w:rPr>
          <w:rFonts w:ascii="Arial" w:hAnsi="Arial" w:eastAsia="Calibri" w:cs="Arial"/>
          <w:b/>
          <w:color w:val="000000"/>
          <w:sz w:val="22"/>
          <w:szCs w:val="22"/>
        </w:rPr>
        <w:t xml:space="preserve">                                                                                                     </w:t>
      </w:r>
      <w:r>
        <w:rPr>
          <w:rFonts w:ascii="Arial" w:hAnsi="Arial" w:eastAsia="Calibri" w:cs="Arial"/>
          <w:b/>
          <w:color w:val="000000"/>
          <w:sz w:val="22"/>
          <w:szCs w:val="22"/>
          <w:lang w:val="sr-Latn-ME"/>
        </w:rPr>
        <w:t xml:space="preserve">          </w:t>
      </w:r>
      <w:r>
        <w:rPr>
          <w:rFonts w:ascii="Arial" w:hAnsi="Arial" w:eastAsia="Calibri" w:cs="Arial"/>
          <w:b/>
          <w:color w:val="000000"/>
          <w:sz w:val="22"/>
          <w:szCs w:val="22"/>
        </w:rPr>
        <w:t>Izvršn</w:t>
      </w:r>
      <w:r>
        <w:rPr>
          <w:rFonts w:ascii="Arial" w:hAnsi="Arial" w:eastAsia="Calibri" w:cs="Arial"/>
          <w:b/>
          <w:color w:val="000000"/>
          <w:sz w:val="22"/>
          <w:szCs w:val="22"/>
          <w:lang w:val="sr-Latn-ME"/>
        </w:rPr>
        <w:t>i</w:t>
      </w:r>
      <w:r>
        <w:rPr>
          <w:rFonts w:ascii="Arial" w:hAnsi="Arial" w:eastAsia="Calibri" w:cs="Arial"/>
          <w:b/>
          <w:color w:val="000000"/>
          <w:sz w:val="22"/>
          <w:szCs w:val="22"/>
        </w:rPr>
        <w:t xml:space="preserve"> direktor</w:t>
      </w:r>
    </w:p>
    <w:p>
      <w:pPr>
        <w:jc w:val="center"/>
        <w:rPr>
          <w:rFonts w:ascii="Arial" w:hAnsi="Arial" w:eastAsia="Calibri" w:cs="Arial"/>
          <w:color w:val="000000"/>
          <w:sz w:val="22"/>
          <w:szCs w:val="22"/>
        </w:rPr>
      </w:pPr>
      <w:r>
        <w:rPr>
          <w:rFonts w:ascii="Arial" w:hAnsi="Arial" w:eastAsia="Calibri" w:cs="Arial"/>
          <w:color w:val="000000"/>
          <w:sz w:val="22"/>
          <w:szCs w:val="22"/>
        </w:rPr>
        <w:t xml:space="preserve">                                                                                       </w:t>
      </w:r>
      <w:r>
        <w:rPr>
          <w:rFonts w:ascii="Arial" w:hAnsi="Arial" w:eastAsia="Calibri" w:cs="Arial"/>
          <w:color w:val="000000"/>
          <w:sz w:val="22"/>
          <w:szCs w:val="22"/>
          <w:lang w:val="sr-Latn-ME"/>
        </w:rPr>
        <w:t xml:space="preserve">                          </w:t>
      </w:r>
      <w:r>
        <w:rPr>
          <w:rFonts w:ascii="Arial" w:hAnsi="Arial" w:eastAsia="Calibri" w:cs="Arial"/>
          <w:color w:val="000000"/>
          <w:sz w:val="22"/>
          <w:szCs w:val="22"/>
        </w:rPr>
        <w:t>Rad</w:t>
      </w:r>
      <w:r>
        <w:rPr>
          <w:rFonts w:ascii="Arial" w:hAnsi="Arial" w:eastAsia="Calibri" w:cs="Arial"/>
          <w:color w:val="000000"/>
          <w:sz w:val="22"/>
          <w:szCs w:val="22"/>
          <w:lang w:val="sr-Latn-ME"/>
        </w:rPr>
        <w:t>oš</w:t>
      </w:r>
      <w:r>
        <w:rPr>
          <w:rFonts w:ascii="Arial" w:hAnsi="Arial" w:eastAsia="Calibri" w:cs="Arial"/>
          <w:color w:val="000000"/>
          <w:sz w:val="22"/>
          <w:szCs w:val="22"/>
        </w:rPr>
        <w:t xml:space="preserve"> </w:t>
      </w:r>
      <w:r>
        <w:rPr>
          <w:rFonts w:ascii="Arial" w:hAnsi="Arial" w:eastAsia="Calibri" w:cs="Arial"/>
          <w:color w:val="000000"/>
          <w:sz w:val="22"/>
          <w:szCs w:val="22"/>
          <w:lang w:val="sr-Latn-ME"/>
        </w:rPr>
        <w:t>Zečević</w:t>
      </w:r>
      <w:r>
        <w:rPr>
          <w:rFonts w:ascii="Arial" w:hAnsi="Arial" w:eastAsia="Calibri" w:cs="Arial"/>
          <w:color w:val="000000"/>
          <w:sz w:val="22"/>
          <w:szCs w:val="22"/>
        </w:rPr>
        <w:t>, dipl.</w:t>
      </w:r>
      <w:r>
        <w:rPr>
          <w:rFonts w:ascii="Arial" w:hAnsi="Arial" w:eastAsia="Calibri" w:cs="Arial"/>
          <w:color w:val="000000"/>
          <w:sz w:val="22"/>
          <w:szCs w:val="22"/>
          <w:lang w:val="sr-Latn-ME"/>
        </w:rPr>
        <w:t>pravnik</w:t>
      </w:r>
      <w:r>
        <w:rPr>
          <w:rFonts w:ascii="Arial" w:hAnsi="Arial" w:eastAsia="Calibri" w:cs="Arial"/>
          <w:color w:val="000000"/>
          <w:sz w:val="22"/>
          <w:szCs w:val="22"/>
        </w:rPr>
        <w:t>.</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tabs>
          <w:tab w:val="left" w:pos="3290"/>
        </w:tabs>
        <w:ind w:left="5664" w:firstLine="708"/>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p>
    <w:p>
      <w:pPr>
        <w:ind w:firstLine="1134"/>
        <w:jc w:val="right"/>
        <w:rPr>
          <w:rFonts w:ascii="Arial" w:hAnsi="Arial" w:eastAsia="Calibri" w:cs="Arial"/>
          <w:b/>
          <w:sz w:val="22"/>
          <w:szCs w:val="22"/>
        </w:rPr>
      </w:pPr>
      <w:r>
        <w:rPr>
          <w:rFonts w:ascii="Arial" w:hAnsi="Arial" w:cs="Arial"/>
          <w:b/>
          <w:sz w:val="22"/>
          <w:szCs w:val="22"/>
        </w:rPr>
        <w:t>Službenik za javne nabavke</w:t>
      </w:r>
      <w:r>
        <w:rPr>
          <w:rFonts w:ascii="Arial" w:hAnsi="Arial" w:eastAsia="Calibri" w:cs="Arial"/>
          <w:b/>
          <w:sz w:val="22"/>
          <w:szCs w:val="22"/>
        </w:rPr>
        <w:t xml:space="preserve"> </w:t>
      </w:r>
    </w:p>
    <w:p>
      <w:pPr>
        <w:wordWrap w:val="0"/>
        <w:ind w:firstLine="1134"/>
        <w:jc w:val="right"/>
        <w:rPr>
          <w:rFonts w:ascii="Arial" w:hAnsi="Arial" w:eastAsia="Calibri" w:cs="Arial"/>
          <w:sz w:val="22"/>
          <w:szCs w:val="22"/>
        </w:rPr>
      </w:pPr>
      <w:r>
        <w:rPr>
          <w:rFonts w:ascii="Arial" w:hAnsi="Arial" w:eastAsia="Calibri" w:cs="Arial"/>
          <w:sz w:val="22"/>
          <w:szCs w:val="22"/>
        </w:rPr>
        <w:t>mr.Miloš Vučelić</w:t>
      </w:r>
    </w:p>
    <w:p>
      <w:pPr>
        <w:tabs>
          <w:tab w:val="left" w:pos="3290"/>
        </w:tabs>
        <w:ind w:firstLine="1134"/>
        <w:jc w:val="right"/>
        <w:rPr>
          <w:rFonts w:ascii="Arial" w:hAnsi="Arial" w:cs="Arial"/>
          <w:sz w:val="22"/>
          <w:szCs w:val="22"/>
        </w:rPr>
      </w:pPr>
      <w:r>
        <w:rPr>
          <w:rFonts w:ascii="Arial" w:hAnsi="Arial" w:cs="Arial"/>
          <w:sz w:val="22"/>
          <w:szCs w:val="22"/>
        </w:rPr>
        <w:t>__________________</w:t>
      </w:r>
    </w:p>
    <w:p>
      <w:pPr>
        <w:ind w:left="6372"/>
        <w:jc w:val="center"/>
        <w:rPr>
          <w:rFonts w:ascii="Arial" w:hAnsi="Arial" w:cs="Arial"/>
          <w:i/>
          <w:iCs/>
          <w:sz w:val="22"/>
          <w:szCs w:val="22"/>
        </w:rPr>
      </w:pPr>
      <w:r>
        <w:rPr>
          <w:rFonts w:ascii="Arial" w:hAnsi="Arial" w:cs="Arial"/>
          <w:i/>
          <w:iCs/>
          <w:sz w:val="22"/>
          <w:szCs w:val="22"/>
        </w:rPr>
        <w:t xml:space="preserve">      </w:t>
      </w:r>
      <w:r>
        <w:rPr>
          <w:rFonts w:ascii="Arial" w:hAnsi="Arial" w:cs="Arial"/>
          <w:i/>
          <w:iCs/>
          <w:sz w:val="22"/>
          <w:szCs w:val="22"/>
          <w:lang w:val="sr-Latn-ME"/>
        </w:rPr>
        <w:t xml:space="preserve">             </w:t>
      </w:r>
      <w:r>
        <w:rPr>
          <w:rFonts w:ascii="Arial" w:hAnsi="Arial" w:cs="Arial"/>
          <w:i/>
          <w:iCs/>
          <w:sz w:val="22"/>
          <w:szCs w:val="22"/>
        </w:rPr>
        <w:t>s.r.</w:t>
      </w:r>
    </w:p>
    <w:p>
      <w:pPr>
        <w:tabs>
          <w:tab w:val="left" w:pos="3290"/>
        </w:tabs>
        <w:ind w:firstLine="1134"/>
        <w:jc w:val="right"/>
        <w:rPr>
          <w:rFonts w:ascii="Arial" w:hAnsi="Arial" w:cs="Arial"/>
          <w:b/>
          <w:sz w:val="22"/>
          <w:szCs w:val="22"/>
        </w:rPr>
      </w:pPr>
      <w:r>
        <w:rPr>
          <w:rFonts w:ascii="Arial" w:hAnsi="Arial" w:cs="Arial"/>
          <w:b/>
          <w:sz w:val="22"/>
          <w:szCs w:val="22"/>
        </w:rPr>
        <w:t xml:space="preserve">Lice koje je učestvovalo u planiranju javne nabavke </w:t>
      </w:r>
    </w:p>
    <w:p>
      <w:pPr>
        <w:tabs>
          <w:tab w:val="left" w:pos="3290"/>
        </w:tabs>
        <w:ind w:firstLine="1134"/>
        <w:jc w:val="right"/>
        <w:rPr>
          <w:rFonts w:ascii="Arial" w:hAnsi="Arial" w:eastAsia="Calibri" w:cs="Arial"/>
          <w:sz w:val="22"/>
          <w:szCs w:val="22"/>
        </w:rPr>
      </w:pPr>
      <w:r>
        <w:rPr>
          <w:rFonts w:ascii="Arial" w:hAnsi="Arial" w:eastAsia="Calibri" w:cs="Arial"/>
          <w:sz w:val="22"/>
          <w:szCs w:val="22"/>
        </w:rPr>
        <w:t>Bojan Popović, spec.sci.građ..</w:t>
      </w:r>
    </w:p>
    <w:p>
      <w:pPr>
        <w:tabs>
          <w:tab w:val="left" w:pos="3290"/>
        </w:tabs>
        <w:ind w:firstLine="1134"/>
        <w:jc w:val="right"/>
        <w:rPr>
          <w:rFonts w:ascii="Arial" w:hAnsi="Arial" w:cs="Arial"/>
          <w:sz w:val="22"/>
          <w:szCs w:val="22"/>
        </w:rPr>
      </w:pPr>
      <w:r>
        <w:rPr>
          <w:rFonts w:ascii="Arial" w:hAnsi="Arial" w:cs="Arial"/>
          <w:sz w:val="22"/>
          <w:szCs w:val="22"/>
        </w:rPr>
        <w:t>__________________</w:t>
      </w:r>
    </w:p>
    <w:p>
      <w:pPr>
        <w:ind w:left="6372"/>
        <w:jc w:val="center"/>
        <w:rPr>
          <w:rFonts w:ascii="Arial" w:hAnsi="Arial" w:cs="Arial"/>
          <w:iCs/>
          <w:color w:val="000000"/>
          <w:sz w:val="22"/>
          <w:szCs w:val="22"/>
          <w:lang w:val="sr-Latn-ME"/>
        </w:rPr>
      </w:pPr>
      <w:r>
        <w:rPr>
          <w:rFonts w:ascii="Arial" w:hAnsi="Arial" w:cs="Arial"/>
          <w:i/>
          <w:iCs/>
          <w:sz w:val="22"/>
          <w:szCs w:val="22"/>
        </w:rPr>
        <w:t xml:space="preserve">      </w:t>
      </w:r>
      <w:r>
        <w:rPr>
          <w:rFonts w:ascii="Arial" w:hAnsi="Arial" w:cs="Arial"/>
          <w:i/>
          <w:iCs/>
          <w:sz w:val="22"/>
          <w:szCs w:val="22"/>
          <w:lang w:val="sr-Latn-ME"/>
        </w:rPr>
        <w:t xml:space="preserve">               </w:t>
      </w:r>
      <w:r>
        <w:rPr>
          <w:rFonts w:ascii="Arial" w:hAnsi="Arial" w:cs="Arial"/>
          <w:i/>
          <w:iCs/>
          <w:sz w:val="22"/>
          <w:szCs w:val="22"/>
        </w:rPr>
        <w:t>s.r.</w:t>
      </w:r>
      <w:r>
        <w:rPr>
          <w:rFonts w:ascii="Arial" w:hAnsi="Arial" w:cs="Arial"/>
          <w:iCs/>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Aleksandra Popović, dipl.menag.</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i/>
          <w:iCs/>
          <w:color w:val="000000"/>
          <w:sz w:val="22"/>
          <w:szCs w:val="22"/>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r>
        <w:rPr>
          <w:rFonts w:ascii="Arial" w:hAnsi="Arial" w:cs="Arial"/>
          <w:i/>
          <w:iCs/>
          <w:color w:val="000000"/>
          <w:sz w:val="22"/>
          <w:szCs w:val="22"/>
        </w:rPr>
        <w:t xml:space="preserve">                             </w:t>
      </w:r>
    </w:p>
    <w:p>
      <w:pPr>
        <w:tabs>
          <w:tab w:val="left" w:pos="3290"/>
        </w:tabs>
        <w:ind w:firstLine="1134"/>
        <w:jc w:val="right"/>
        <w:rPr>
          <w:rFonts w:ascii="Arial" w:hAnsi="Arial" w:cs="Arial"/>
          <w:b/>
          <w:iCs/>
          <w:color w:val="000000"/>
          <w:sz w:val="22"/>
          <w:szCs w:val="22"/>
        </w:rPr>
      </w:pPr>
      <w:r>
        <w:rPr>
          <w:rFonts w:ascii="Arial" w:hAnsi="Arial" w:cs="Arial"/>
          <w:i/>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mr Slobodan Mandić</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b/>
          <w:bCs/>
          <w:color w:val="000000"/>
          <w:sz w:val="22"/>
          <w:szCs w:val="22"/>
          <w:lang w:val="sr-Latn-ME"/>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p>
    <w:p>
      <w:pPr>
        <w:tabs>
          <w:tab w:val="left" w:pos="3290"/>
        </w:tabs>
        <w:ind w:firstLine="1134"/>
        <w:jc w:val="center"/>
        <w:rPr>
          <w:rFonts w:ascii="Arial" w:hAnsi="Arial" w:cs="Arial"/>
          <w:b/>
          <w:bCs/>
          <w:lang w:val="sr-Latn-ME"/>
        </w:rPr>
      </w:pPr>
    </w:p>
    <w:p>
      <w:pPr>
        <w:tabs>
          <w:tab w:val="left" w:pos="3290"/>
        </w:tabs>
        <w:ind w:firstLine="1134"/>
        <w:jc w:val="right"/>
        <w:rPr>
          <w:rFonts w:ascii="Arial" w:hAnsi="Arial" w:cs="Arial"/>
          <w:b/>
          <w:iCs/>
          <w:color w:val="000000"/>
          <w:sz w:val="22"/>
          <w:szCs w:val="22"/>
        </w:rPr>
      </w:pPr>
      <w:r>
        <w:rPr>
          <w:rFonts w:ascii="Arial" w:hAnsi="Arial" w:cs="Arial"/>
          <w:i/>
          <w:iCs/>
          <w:color w:val="000000"/>
          <w:sz w:val="22"/>
          <w:szCs w:val="22"/>
        </w:rPr>
        <w:t xml:space="preserve">                                     </w:t>
      </w:r>
      <w:r>
        <w:rPr>
          <w:rFonts w:ascii="Arial" w:hAnsi="Arial" w:cs="Arial"/>
          <w:b/>
          <w:iCs/>
          <w:color w:val="000000"/>
          <w:sz w:val="22"/>
          <w:szCs w:val="22"/>
        </w:rPr>
        <w:t xml:space="preserve">Član komisije </w:t>
      </w:r>
      <w:r>
        <w:rPr>
          <w:rFonts w:ascii="Arial" w:hAnsi="Arial" w:cs="Arial"/>
          <w:b/>
          <w:sz w:val="22"/>
          <w:szCs w:val="22"/>
        </w:rPr>
        <w:t>za sprovođenje postupka javne nabavk</w:t>
      </w:r>
      <w:r>
        <w:rPr>
          <w:rFonts w:ascii="Arial" w:hAnsi="Arial" w:cs="Arial"/>
          <w:b/>
          <w:iCs/>
          <w:color w:val="000000"/>
          <w:sz w:val="22"/>
          <w:szCs w:val="22"/>
        </w:rPr>
        <w:t>e</w:t>
      </w:r>
    </w:p>
    <w:p>
      <w:pPr>
        <w:tabs>
          <w:tab w:val="left" w:pos="3290"/>
        </w:tabs>
        <w:ind w:firstLine="1134"/>
        <w:jc w:val="right"/>
        <w:rPr>
          <w:rFonts w:ascii="Arial" w:hAnsi="Arial" w:cs="Arial"/>
          <w:iCs/>
          <w:color w:val="000000"/>
          <w:sz w:val="22"/>
          <w:szCs w:val="22"/>
          <w:lang w:val="sr-Latn-ME"/>
        </w:rPr>
      </w:pPr>
      <w:r>
        <w:rPr>
          <w:rFonts w:ascii="Arial" w:hAnsi="Arial" w:cs="Arial"/>
          <w:iCs/>
          <w:color w:val="000000"/>
          <w:sz w:val="22"/>
          <w:szCs w:val="22"/>
          <w:lang w:val="sr-Latn-ME"/>
        </w:rPr>
        <w:t xml:space="preserve">Bojan Popović, spec.sci.građ. </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w:t>
      </w:r>
    </w:p>
    <w:p>
      <w:pPr>
        <w:tabs>
          <w:tab w:val="left" w:pos="3290"/>
        </w:tabs>
        <w:ind w:firstLine="1134"/>
        <w:jc w:val="center"/>
        <w:rPr>
          <w:rFonts w:ascii="Arial" w:hAnsi="Arial" w:cs="Arial"/>
          <w:b/>
          <w:bCs/>
          <w:color w:val="000000"/>
          <w:sz w:val="22"/>
          <w:szCs w:val="22"/>
          <w:lang w:val="sr-Latn-ME"/>
        </w:rPr>
      </w:pPr>
      <w:r>
        <w:rPr>
          <w:rFonts w:ascii="Arial" w:hAnsi="Arial" w:cs="Arial"/>
          <w:i/>
          <w:iCs/>
          <w:color w:val="000000"/>
          <w:sz w:val="22"/>
          <w:szCs w:val="22"/>
        </w:rPr>
        <w:t xml:space="preserve">                                                                                                </w:t>
      </w:r>
      <w:r>
        <w:rPr>
          <w:rFonts w:ascii="Arial" w:hAnsi="Arial" w:cs="Arial"/>
          <w:i/>
          <w:iCs/>
          <w:color w:val="000000"/>
          <w:sz w:val="22"/>
          <w:szCs w:val="22"/>
          <w:lang w:val="sr-Latn-ME"/>
        </w:rPr>
        <w:t xml:space="preserve">          </w:t>
      </w:r>
      <w:r>
        <w:rPr>
          <w:rFonts w:ascii="Arial" w:hAnsi="Arial" w:cs="Arial"/>
          <w:i/>
          <w:iCs/>
          <w:color w:val="000000"/>
          <w:sz w:val="22"/>
          <w:szCs w:val="22"/>
        </w:rPr>
        <w:t>s.r.</w:t>
      </w:r>
      <w:r>
        <w:rPr>
          <w:rFonts w:ascii="Arial" w:hAnsi="Arial" w:cs="Arial"/>
          <w:b/>
          <w:bCs/>
          <w:color w:val="000000"/>
          <w:sz w:val="22"/>
          <w:szCs w:val="22"/>
          <w:lang w:val="sr-Latn-ME"/>
        </w:rPr>
        <w:t xml:space="preserve">   </w:t>
      </w:r>
    </w:p>
    <w:p>
      <w:pPr>
        <w:tabs>
          <w:tab w:val="left" w:pos="3290"/>
        </w:tabs>
        <w:ind w:firstLine="1134"/>
        <w:jc w:val="center"/>
        <w:rPr>
          <w:rFonts w:ascii="Arial" w:hAnsi="Arial" w:cs="Arial"/>
          <w:color w:val="000000"/>
          <w:sz w:val="22"/>
          <w:szCs w:val="22"/>
        </w:rPr>
      </w:pPr>
      <w:r>
        <w:rPr>
          <w:rFonts w:ascii="Arial" w:hAnsi="Arial" w:cs="Arial"/>
          <w:b/>
          <w:bCs/>
          <w:color w:val="000000"/>
        </w:rPr>
        <w:br w:type="page"/>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lang w:val="sr-Latn-ME"/>
        </w:rPr>
        <w:t>Privredni subjekat može da izjavi žalbu protiv ove tenderske dokumentacije Komisiji za zaštitu prava</w:t>
      </w:r>
      <w:r>
        <w:rPr>
          <w:rFonts w:ascii="Arial" w:hAnsi="Arial" w:cs="Arial"/>
          <w:color w:val="000000"/>
        </w:rPr>
        <w:t>:</w:t>
      </w:r>
    </w:p>
    <w:p>
      <w:pPr>
        <w:pStyle w:val="12"/>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12"/>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12"/>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lang w:val="sr-Latn-ME"/>
        </w:rPr>
      </w:pPr>
    </w:p>
    <w:p>
      <w:pPr>
        <w:autoSpaceDE w:val="0"/>
        <w:autoSpaceDN w:val="0"/>
        <w:adjustRightInd w:val="0"/>
        <w:ind w:firstLine="567"/>
        <w:jc w:val="both"/>
        <w:rPr>
          <w:rFonts w:ascii="Arial" w:hAnsi="Arial" w:cs="Arial"/>
          <w:color w:val="000000"/>
          <w:lang w:val="sr-Latn-ME"/>
        </w:rPr>
      </w:pPr>
      <w:r>
        <w:rPr>
          <w:rFonts w:ascii="Arial" w:hAnsi="Arial" w:cs="Arial"/>
          <w:color w:val="000000"/>
          <w:lang w:val="sr-Latn-ME"/>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lang w:val="sr-Latn-ME"/>
        </w:rPr>
      </w:pPr>
    </w:p>
    <w:p>
      <w:pPr>
        <w:autoSpaceDE w:val="0"/>
        <w:autoSpaceDN w:val="0"/>
        <w:adjustRightInd w:val="0"/>
        <w:ind w:firstLine="567"/>
        <w:jc w:val="both"/>
        <w:rPr>
          <w:rFonts w:ascii="Arial" w:hAnsi="Arial" w:cs="Arial"/>
          <w:color w:val="000000"/>
          <w:highlight w:val="yellow"/>
          <w:lang w:val="sr-Latn-ME"/>
        </w:rPr>
      </w:pPr>
      <w:r>
        <w:rPr>
          <w:rFonts w:ascii="Arial" w:hAnsi="Arial" w:cs="Arial"/>
          <w:color w:val="000000"/>
          <w:lang w:val="sr-Latn-ME"/>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lang w:val="sr-Latn-ME"/>
        </w:rPr>
      </w:pPr>
    </w:p>
    <w:p>
      <w:pPr>
        <w:tabs>
          <w:tab w:val="left" w:pos="5760"/>
        </w:tabs>
        <w:ind w:firstLine="567"/>
        <w:jc w:val="both"/>
        <w:rPr>
          <w:rFonts w:ascii="Arial" w:hAnsi="Arial" w:cs="Arial"/>
          <w:color w:val="000000"/>
          <w:lang w:val="sr-Latn-ME"/>
        </w:rPr>
      </w:pPr>
      <w:r>
        <w:rPr>
          <w:rFonts w:ascii="Arial" w:hAnsi="Arial" w:cs="Arial"/>
          <w:color w:val="000000"/>
          <w:lang w:val="sr-Latn-ME"/>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8"/>
          <w:rFonts w:ascii="Arial" w:hAnsi="Arial" w:cs="Arial"/>
          <w:lang w:val="sr-Latn-ME"/>
        </w:rPr>
        <w:t>http://www.kontrola-nabavki.me/</w:t>
      </w:r>
      <w:r>
        <w:rPr>
          <w:rStyle w:val="8"/>
          <w:rFonts w:ascii="Arial" w:hAnsi="Arial" w:cs="Arial"/>
          <w:lang w:val="sr-Latn-ME"/>
        </w:rPr>
        <w:fldChar w:fldCharType="end"/>
      </w:r>
      <w:r>
        <w:rPr>
          <w:rFonts w:ascii="Arial" w:hAnsi="Arial" w:cs="Arial"/>
          <w:color w:val="000000"/>
          <w:lang w:val="sr-Latn-ME"/>
        </w:rPr>
        <w:t>.“.</w:t>
      </w:r>
    </w:p>
    <w:p>
      <w:pPr>
        <w:rPr>
          <w:rFonts w:ascii="Arial" w:hAnsi="Arial" w:cs="Arial"/>
        </w:rPr>
      </w:pPr>
    </w:p>
    <w:sectPr>
      <w:pgSz w:w="12240" w:h="15840"/>
      <w:pgMar w:top="1417" w:right="983"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roman"/>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6">
    <w:p>
      <w:r>
        <w:separator/>
      </w:r>
    </w:p>
  </w:footnote>
  <w:footnote w:type="continuationSeparator" w:id="17">
    <w:p>
      <w:r>
        <w:continuationSeparator/>
      </w:r>
    </w:p>
  </w:footnote>
  <w:footnote w:id="0">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6"/>
        <w:jc w:val="both"/>
        <w:rPr>
          <w:rFonts w:ascii="Arial" w:hAnsi="Arial" w:cs="Arial"/>
          <w:sz w:val="16"/>
          <w:szCs w:val="16"/>
        </w:rPr>
      </w:pPr>
      <w:r>
        <w:rPr>
          <w:rStyle w:val="5"/>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6"/>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6">
    <w:p>
      <w:pPr>
        <w:pStyle w:val="6"/>
        <w:jc w:val="both"/>
        <w:rPr>
          <w:rFonts w:ascii="Arial" w:hAnsi="Arial" w:cs="Arial"/>
          <w:sz w:val="14"/>
          <w:szCs w:val="14"/>
        </w:rPr>
      </w:pPr>
      <w:r>
        <w:rPr>
          <w:rFonts w:ascii="Arial" w:hAnsi="Arial" w:cs="Arial"/>
          <w:sz w:val="14"/>
          <w:szCs w:val="14"/>
          <w:lang w:val="sr-Latn-ME"/>
        </w:rPr>
        <w:t>13</w:t>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7">
    <w:p>
      <w:pPr>
        <w:jc w:val="both"/>
        <w:rPr>
          <w:rFonts w:ascii="Arial" w:hAnsi="Arial" w:cs="Arial"/>
          <w:color w:val="000000"/>
          <w:sz w:val="16"/>
          <w:szCs w:val="16"/>
        </w:rPr>
      </w:pPr>
      <w:r>
        <w:rPr>
          <w:rStyle w:val="5"/>
          <w:rFonts w:ascii="Arial" w:hAnsi="Arial" w:cs="Arial"/>
          <w:sz w:val="16"/>
          <w:szCs w:val="16"/>
        </w:rPr>
        <w:footnoteRef/>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36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5">
    <w:nsid w:val="6764291E"/>
    <w:multiLevelType w:val="multilevel"/>
    <w:tmpl w:val="6764291E"/>
    <w:lvl w:ilvl="0" w:tentative="0">
      <w:start w:val="1"/>
      <w:numFmt w:val="decimal"/>
      <w:lvlText w:val="%1."/>
      <w:lvlJc w:val="left"/>
      <w:pPr>
        <w:ind w:left="36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16"/>
    <w:footnote w:id="17"/>
  </w:foot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D4"/>
    <w:rsid w:val="00004811"/>
    <w:rsid w:val="000D0268"/>
    <w:rsid w:val="000F700E"/>
    <w:rsid w:val="00110C38"/>
    <w:rsid w:val="001117A7"/>
    <w:rsid w:val="00150E12"/>
    <w:rsid w:val="001E0BEA"/>
    <w:rsid w:val="002169DF"/>
    <w:rsid w:val="002508AD"/>
    <w:rsid w:val="00255E45"/>
    <w:rsid w:val="00265BDA"/>
    <w:rsid w:val="002B1070"/>
    <w:rsid w:val="00342A63"/>
    <w:rsid w:val="00345E79"/>
    <w:rsid w:val="00362102"/>
    <w:rsid w:val="00386FA9"/>
    <w:rsid w:val="003976EB"/>
    <w:rsid w:val="003A2113"/>
    <w:rsid w:val="003C3D80"/>
    <w:rsid w:val="003E59E6"/>
    <w:rsid w:val="004539BC"/>
    <w:rsid w:val="00486309"/>
    <w:rsid w:val="00517EEE"/>
    <w:rsid w:val="0059723A"/>
    <w:rsid w:val="005D1331"/>
    <w:rsid w:val="00602F43"/>
    <w:rsid w:val="0060733D"/>
    <w:rsid w:val="006823D0"/>
    <w:rsid w:val="006C7C6E"/>
    <w:rsid w:val="006D0E3B"/>
    <w:rsid w:val="00730516"/>
    <w:rsid w:val="0078244C"/>
    <w:rsid w:val="007C24BE"/>
    <w:rsid w:val="007F4ACB"/>
    <w:rsid w:val="00840BC7"/>
    <w:rsid w:val="008477B7"/>
    <w:rsid w:val="00854D56"/>
    <w:rsid w:val="00864AC9"/>
    <w:rsid w:val="008817D6"/>
    <w:rsid w:val="00885928"/>
    <w:rsid w:val="008E0405"/>
    <w:rsid w:val="008E52AC"/>
    <w:rsid w:val="008F4884"/>
    <w:rsid w:val="0096019D"/>
    <w:rsid w:val="009B6C92"/>
    <w:rsid w:val="00A11F6D"/>
    <w:rsid w:val="00A42DAD"/>
    <w:rsid w:val="00AA2B11"/>
    <w:rsid w:val="00AC1C0B"/>
    <w:rsid w:val="00AF43DE"/>
    <w:rsid w:val="00B13D40"/>
    <w:rsid w:val="00B21172"/>
    <w:rsid w:val="00BA4B99"/>
    <w:rsid w:val="00BB2F09"/>
    <w:rsid w:val="00BC12A6"/>
    <w:rsid w:val="00C0021D"/>
    <w:rsid w:val="00C10FC4"/>
    <w:rsid w:val="00C252A6"/>
    <w:rsid w:val="00C31A7C"/>
    <w:rsid w:val="00C5388A"/>
    <w:rsid w:val="00C81DB6"/>
    <w:rsid w:val="00CB0246"/>
    <w:rsid w:val="00CB6A4F"/>
    <w:rsid w:val="00CB7DD4"/>
    <w:rsid w:val="00D22EB5"/>
    <w:rsid w:val="00D44C84"/>
    <w:rsid w:val="00D63868"/>
    <w:rsid w:val="00D7461A"/>
    <w:rsid w:val="00D938E3"/>
    <w:rsid w:val="00DA03CA"/>
    <w:rsid w:val="00DE1AC2"/>
    <w:rsid w:val="00DF335D"/>
    <w:rsid w:val="00E412B7"/>
    <w:rsid w:val="00E53A62"/>
    <w:rsid w:val="00E94987"/>
    <w:rsid w:val="00E97BAE"/>
    <w:rsid w:val="00F32992"/>
    <w:rsid w:val="00F410EE"/>
    <w:rsid w:val="00FA7AE8"/>
    <w:rsid w:val="00FF08C8"/>
    <w:rsid w:val="00FF0D5B"/>
    <w:rsid w:val="02007CD0"/>
    <w:rsid w:val="027345B1"/>
    <w:rsid w:val="048352B9"/>
    <w:rsid w:val="04CC5A6D"/>
    <w:rsid w:val="05231799"/>
    <w:rsid w:val="05AA1AE2"/>
    <w:rsid w:val="05C515D6"/>
    <w:rsid w:val="06BC2999"/>
    <w:rsid w:val="06E56E98"/>
    <w:rsid w:val="0777176D"/>
    <w:rsid w:val="091D17A6"/>
    <w:rsid w:val="0AEA5114"/>
    <w:rsid w:val="0B523D71"/>
    <w:rsid w:val="0BAD6B3C"/>
    <w:rsid w:val="0CAA6E21"/>
    <w:rsid w:val="12D85995"/>
    <w:rsid w:val="13617C5A"/>
    <w:rsid w:val="143B675F"/>
    <w:rsid w:val="14755649"/>
    <w:rsid w:val="15423D1E"/>
    <w:rsid w:val="167A20EE"/>
    <w:rsid w:val="17D3768B"/>
    <w:rsid w:val="18B94051"/>
    <w:rsid w:val="193E3073"/>
    <w:rsid w:val="196D1903"/>
    <w:rsid w:val="19957D02"/>
    <w:rsid w:val="1B382FC9"/>
    <w:rsid w:val="1C3A38D5"/>
    <w:rsid w:val="1C8265BE"/>
    <w:rsid w:val="1D5319AE"/>
    <w:rsid w:val="1E5D44B3"/>
    <w:rsid w:val="1EC052FC"/>
    <w:rsid w:val="1F7A3956"/>
    <w:rsid w:val="207728D1"/>
    <w:rsid w:val="20C066D7"/>
    <w:rsid w:val="215F7F77"/>
    <w:rsid w:val="252E0109"/>
    <w:rsid w:val="254D0F95"/>
    <w:rsid w:val="26F07FF2"/>
    <w:rsid w:val="2763300F"/>
    <w:rsid w:val="2880617F"/>
    <w:rsid w:val="28BB61E6"/>
    <w:rsid w:val="294C6695"/>
    <w:rsid w:val="2C252000"/>
    <w:rsid w:val="2E5B5ED9"/>
    <w:rsid w:val="30054FC2"/>
    <w:rsid w:val="33B01B25"/>
    <w:rsid w:val="3887217A"/>
    <w:rsid w:val="39C81374"/>
    <w:rsid w:val="3BF8374B"/>
    <w:rsid w:val="3CD975B2"/>
    <w:rsid w:val="3E1B59DB"/>
    <w:rsid w:val="3E1C76AA"/>
    <w:rsid w:val="3F5967EB"/>
    <w:rsid w:val="3F9B6A67"/>
    <w:rsid w:val="408C4DBB"/>
    <w:rsid w:val="409132BF"/>
    <w:rsid w:val="42021F02"/>
    <w:rsid w:val="435C7C28"/>
    <w:rsid w:val="45CE5672"/>
    <w:rsid w:val="464424FA"/>
    <w:rsid w:val="46470C62"/>
    <w:rsid w:val="470D1349"/>
    <w:rsid w:val="4816081F"/>
    <w:rsid w:val="4825011B"/>
    <w:rsid w:val="48B06FCF"/>
    <w:rsid w:val="49DD2E98"/>
    <w:rsid w:val="4A7443D5"/>
    <w:rsid w:val="4BC64695"/>
    <w:rsid w:val="4E0F36BD"/>
    <w:rsid w:val="4E89289B"/>
    <w:rsid w:val="4EFA3747"/>
    <w:rsid w:val="51663E02"/>
    <w:rsid w:val="544A53F9"/>
    <w:rsid w:val="54FA58A1"/>
    <w:rsid w:val="57E61805"/>
    <w:rsid w:val="59AA1BE1"/>
    <w:rsid w:val="59FC4D7D"/>
    <w:rsid w:val="5A1F7AD4"/>
    <w:rsid w:val="5A42142C"/>
    <w:rsid w:val="5B805EB3"/>
    <w:rsid w:val="5BAE0BE5"/>
    <w:rsid w:val="5BC83373"/>
    <w:rsid w:val="5C392316"/>
    <w:rsid w:val="5CA16EC6"/>
    <w:rsid w:val="5E096C98"/>
    <w:rsid w:val="5E917141"/>
    <w:rsid w:val="5F880C53"/>
    <w:rsid w:val="5F9B6E43"/>
    <w:rsid w:val="620C4C28"/>
    <w:rsid w:val="624C22DF"/>
    <w:rsid w:val="62C96986"/>
    <w:rsid w:val="63736017"/>
    <w:rsid w:val="649A373A"/>
    <w:rsid w:val="652D67FA"/>
    <w:rsid w:val="65555FD6"/>
    <w:rsid w:val="67743FBA"/>
    <w:rsid w:val="6A3C44D6"/>
    <w:rsid w:val="6C010DE6"/>
    <w:rsid w:val="6C8B5528"/>
    <w:rsid w:val="6D0854B6"/>
    <w:rsid w:val="6D5751D5"/>
    <w:rsid w:val="6DDB184C"/>
    <w:rsid w:val="700D51F5"/>
    <w:rsid w:val="70E03CFE"/>
    <w:rsid w:val="71EB38D3"/>
    <w:rsid w:val="722F557D"/>
    <w:rsid w:val="72514A93"/>
    <w:rsid w:val="73AF515A"/>
    <w:rsid w:val="755C2F98"/>
    <w:rsid w:val="78534775"/>
    <w:rsid w:val="78815D16"/>
    <w:rsid w:val="7A940E9C"/>
    <w:rsid w:val="7AD24104"/>
    <w:rsid w:val="7C18564B"/>
    <w:rsid w:val="7D306E92"/>
    <w:rsid w:val="7FBD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pPr>
    <w:rPr>
      <w:sz w:val="18"/>
      <w:szCs w:val="18"/>
    </w:rPr>
  </w:style>
  <w:style w:type="character" w:styleId="5">
    <w:name w:val="footnote reference"/>
    <w:unhideWhenUsed/>
    <w:qFormat/>
    <w:uiPriority w:val="99"/>
    <w:rPr>
      <w:vertAlign w:val="superscript"/>
    </w:rPr>
  </w:style>
  <w:style w:type="paragraph" w:styleId="6">
    <w:name w:val="footnote text"/>
    <w:basedOn w:val="1"/>
    <w:link w:val="11"/>
    <w:unhideWhenUsed/>
    <w:qFormat/>
    <w:uiPriority w:val="99"/>
    <w:rPr>
      <w:rFonts w:ascii="Calibri" w:hAnsi="Calibri" w:eastAsia="Calibri"/>
      <w:sz w:val="20"/>
      <w:szCs w:val="20"/>
    </w:rPr>
  </w:style>
  <w:style w:type="paragraph" w:styleId="7">
    <w:name w:val="header"/>
    <w:basedOn w:val="1"/>
    <w:semiHidden/>
    <w:unhideWhenUsed/>
    <w:qFormat/>
    <w:uiPriority w:val="99"/>
    <w:pPr>
      <w:tabs>
        <w:tab w:val="center" w:pos="4153"/>
        <w:tab w:val="right" w:pos="8306"/>
      </w:tabs>
      <w:snapToGrid w:val="0"/>
    </w:pPr>
    <w:rPr>
      <w:sz w:val="18"/>
      <w:szCs w:val="18"/>
    </w:rPr>
  </w:style>
  <w:style w:type="character" w:styleId="8">
    <w:name w:val="Hyperlink"/>
    <w:qFormat/>
    <w:uiPriority w:val="99"/>
    <w:rPr>
      <w:color w:val="0000FF"/>
      <w:u w:val="single"/>
    </w:rPr>
  </w:style>
  <w:style w:type="paragraph" w:styleId="9">
    <w:name w:val="Normal (Web)"/>
    <w:basedOn w:val="1"/>
    <w:semiHidden/>
    <w:unhideWhenUsed/>
    <w:qFormat/>
    <w:uiPriority w:val="99"/>
  </w:style>
  <w:style w:type="table" w:styleId="10">
    <w:name w:val="Table Grid"/>
    <w:basedOn w:val="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Footnote Text Char"/>
    <w:basedOn w:val="2"/>
    <w:link w:val="6"/>
    <w:qFormat/>
    <w:uiPriority w:val="99"/>
    <w:rPr>
      <w:rFonts w:ascii="Calibri" w:hAnsi="Calibri" w:eastAsia="Calibri" w:cs="Times New Roman"/>
      <w:sz w:val="20"/>
      <w:szCs w:val="20"/>
    </w:rPr>
  </w:style>
  <w:style w:type="paragraph" w:customStyle="1" w:styleId="12">
    <w:name w:val="T30X"/>
    <w:basedOn w:val="1"/>
    <w:qFormat/>
    <w:uiPriority w:val="99"/>
    <w:pPr>
      <w:autoSpaceDE w:val="0"/>
      <w:autoSpaceDN w:val="0"/>
      <w:adjustRightInd w:val="0"/>
      <w:spacing w:before="60" w:after="60"/>
      <w:ind w:firstLine="283"/>
      <w:jc w:val="both"/>
    </w:pPr>
    <w:rPr>
      <w:color w:val="000000"/>
      <w:sz w:val="22"/>
      <w:szCs w:val="22"/>
    </w:rPr>
  </w:style>
  <w:style w:type="character" w:customStyle="1" w:styleId="13">
    <w:name w:val="List Paragraph Char"/>
    <w:link w:val="14"/>
    <w:qFormat/>
    <w:locked/>
    <w:uiPriority w:val="34"/>
    <w:rPr>
      <w:rFonts w:eastAsia="Times New Roman"/>
      <w:sz w:val="24"/>
      <w:szCs w:val="24"/>
    </w:rPr>
  </w:style>
  <w:style w:type="paragraph" w:styleId="14">
    <w:name w:val="List Paragraph"/>
    <w:basedOn w:val="1"/>
    <w:link w:val="13"/>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2923</Words>
  <Characters>16666</Characters>
  <Lines>138</Lines>
  <Paragraphs>39</Paragraphs>
  <TotalTime>310</TotalTime>
  <ScaleCrop>false</ScaleCrop>
  <LinksUpToDate>false</LinksUpToDate>
  <CharactersWithSpaces>19550</CharactersWithSpaces>
  <Application>WPS Office_12.2.0.13431_F1E327BC-269C-435d-A152-05C5408002CA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2024-02-12T08:30:00Z</dcterms:created>
  <dc:creator>aleksandar.pavlicevi</dc:creator>
  <cp:lastModifiedBy>Milos</cp:lastModifiedBy>
  <cp:lastPrinted>2024-02-19T07:47:00Z</cp:lastPrinted>
  <dcterms:modified xsi:type="dcterms:W3CDTF">2024-02-20T12:33:16Z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1033-12.2.0.13431</vt:lpwstr>
  </property>
  <property fmtid="{D5CDD505-2E9C-101B-9397-08002B2CF9AE}" pid="3" name="ICV">
    <vt:lpwstr>C0E98760C0E14AF8956AFC806C3FBDEC_13</vt:lpwstr>
  </property>
</Properties>
</file>