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39A38">
      <w:pPr>
        <w:jc w:val="right"/>
        <w:rPr>
          <w:rFonts w:ascii="Arial" w:hAnsi="Arial" w:cs="Arial"/>
          <w:b/>
          <w:color w:val="000000"/>
        </w:rPr>
      </w:pPr>
      <w:r>
        <w:rPr>
          <w:rFonts w:ascii="Arial" w:hAnsi="Arial" w:cs="Arial"/>
          <w:b/>
          <w:color w:val="000000"/>
        </w:rPr>
        <w:t xml:space="preserve">OBRAZAC 1  </w:t>
      </w:r>
    </w:p>
    <w:p w14:paraId="1C61ADA9">
      <w:pPr>
        <w:rPr>
          <w:rFonts w:ascii="Arial" w:hAnsi="Arial" w:cs="Arial"/>
          <w:color w:val="000000"/>
        </w:rPr>
      </w:pPr>
    </w:p>
    <w:p w14:paraId="1EAED5A9">
      <w:pPr>
        <w:tabs>
          <w:tab w:val="left" w:pos="1701"/>
          <w:tab w:val="left" w:pos="4820"/>
        </w:tabs>
        <w:jc w:val="both"/>
        <w:rPr>
          <w:rFonts w:ascii="Arial" w:hAnsi="Arial" w:cs="Arial"/>
          <w:b/>
          <w:bCs/>
          <w:color w:val="000000"/>
        </w:rPr>
      </w:pPr>
      <w:r>
        <w:rPr>
          <w:rFonts w:ascii="Arial" w:hAnsi="Arial" w:cs="Arial"/>
          <w:b/>
          <w:bCs/>
          <w:color w:val="000000"/>
        </w:rPr>
        <w:t>Putevi d.o.o. Podgorica</w:t>
      </w:r>
    </w:p>
    <w:p w14:paraId="4864D94E">
      <w:pPr>
        <w:tabs>
          <w:tab w:val="left" w:pos="1701"/>
          <w:tab w:val="left" w:pos="4820"/>
        </w:tabs>
        <w:jc w:val="both"/>
        <w:rPr>
          <w:rFonts w:ascii="Arial" w:hAnsi="Arial" w:cs="Arial"/>
          <w:lang w:val="sr-Latn-ME"/>
        </w:rPr>
      </w:pPr>
      <w:r>
        <w:rPr>
          <w:rFonts w:ascii="Arial" w:hAnsi="Arial" w:cs="Arial"/>
        </w:rPr>
        <w:t xml:space="preserve">Broj iz evidencije postupaka javnih nabavki: </w:t>
      </w:r>
      <w:r>
        <w:rPr>
          <w:rFonts w:hint="default" w:ascii="Arial" w:hAnsi="Arial" w:cs="Arial"/>
          <w:lang w:val="en-US"/>
        </w:rPr>
        <w:t>46</w:t>
      </w:r>
      <w:r>
        <w:rPr>
          <w:rFonts w:ascii="Arial" w:hAnsi="Arial" w:cs="Arial"/>
          <w:lang w:val="sr-Latn-ME"/>
        </w:rPr>
        <w:t>/24</w:t>
      </w:r>
    </w:p>
    <w:p w14:paraId="49908D5F">
      <w:pPr>
        <w:jc w:val="both"/>
        <w:rPr>
          <w:rFonts w:hint="default" w:ascii="Arial" w:hAnsi="Arial" w:cs="Arial"/>
          <w:color w:val="000000"/>
          <w:lang w:val="sr-Latn-ME"/>
        </w:rPr>
      </w:pPr>
      <w:r>
        <w:rPr>
          <w:rFonts w:ascii="Arial" w:hAnsi="Arial" w:cs="Arial"/>
          <w:color w:val="000000"/>
        </w:rPr>
        <w:t>Redni broj iz Plana javnih nabavki:</w:t>
      </w:r>
      <w:r>
        <w:rPr>
          <w:rFonts w:ascii="Arial" w:hAnsi="Arial" w:cs="Arial"/>
          <w:color w:val="000000"/>
          <w:lang w:val="sr-Latn-ME"/>
        </w:rPr>
        <w:t xml:space="preserve"> </w:t>
      </w:r>
      <w:r>
        <w:rPr>
          <w:rFonts w:hint="default" w:ascii="Arial" w:hAnsi="Arial" w:cs="Arial"/>
          <w:color w:val="000000"/>
          <w:lang w:val="sr-Latn-ME"/>
        </w:rPr>
        <w:t>49</w:t>
      </w:r>
    </w:p>
    <w:p w14:paraId="765784AC">
      <w:pPr>
        <w:jc w:val="both"/>
        <w:rPr>
          <w:rFonts w:ascii="Arial" w:hAnsi="Arial" w:cs="Arial"/>
          <w:b/>
          <w:bCs/>
          <w:color w:val="000000"/>
        </w:rPr>
      </w:pPr>
      <w:r>
        <w:rPr>
          <w:rFonts w:ascii="Arial" w:hAnsi="Arial" w:cs="Arial"/>
          <w:color w:val="000000"/>
          <w:lang w:val="sr-Latn-ME"/>
        </w:rPr>
        <w:t>Podgorica,</w:t>
      </w:r>
      <w:r>
        <w:rPr>
          <w:rFonts w:ascii="Arial" w:hAnsi="Arial" w:cs="Arial"/>
          <w:color w:val="000000"/>
        </w:rPr>
        <w:t xml:space="preserve"> </w:t>
      </w:r>
      <w:r>
        <w:rPr>
          <w:rFonts w:hint="default" w:ascii="Arial" w:hAnsi="Arial" w:cs="Arial"/>
          <w:color w:val="000000"/>
          <w:lang w:val="en-US"/>
        </w:rPr>
        <w:t>16.09</w:t>
      </w:r>
      <w:r>
        <w:rPr>
          <w:rFonts w:ascii="Arial" w:hAnsi="Arial" w:cs="Arial"/>
          <w:color w:val="000000"/>
          <w:lang w:val="sr-Latn-ME"/>
        </w:rPr>
        <w:t>.2024</w:t>
      </w:r>
      <w:r>
        <w:rPr>
          <w:rFonts w:ascii="Arial" w:hAnsi="Arial" w:cs="Arial"/>
          <w:color w:val="000000"/>
        </w:rPr>
        <w:t xml:space="preserve"> godine</w:t>
      </w:r>
    </w:p>
    <w:p w14:paraId="135F5092">
      <w:pPr>
        <w:rPr>
          <w:rFonts w:ascii="Arial" w:hAnsi="Arial" w:cs="Arial"/>
        </w:rPr>
      </w:pPr>
    </w:p>
    <w:p w14:paraId="786284D2">
      <w:pPr>
        <w:rPr>
          <w:rFonts w:ascii="Arial" w:hAnsi="Arial" w:cs="Arial"/>
        </w:rPr>
      </w:pPr>
    </w:p>
    <w:p w14:paraId="4C8A8F58">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3/23,</w:t>
      </w:r>
      <w:r>
        <w:rPr>
          <w:rFonts w:hint="default" w:ascii="Arial" w:hAnsi="Arial" w:cs="Arial"/>
          <w:lang w:val="en-US"/>
        </w:rPr>
        <w:t xml:space="preserve"> </w:t>
      </w:r>
      <w:r>
        <w:rPr>
          <w:rFonts w:ascii="Arial" w:hAnsi="Arial" w:cs="Arial"/>
          <w:lang w:val="sr-Latn-ME"/>
        </w:rPr>
        <w:t xml:space="preserve">011/23), </w:t>
      </w:r>
      <w:r>
        <w:rPr>
          <w:rFonts w:ascii="Arial" w:hAnsi="Arial" w:cs="Arial"/>
        </w:rPr>
        <w:t>Putevi d.o.o. Podgorica objavljuje</w:t>
      </w:r>
      <w:r>
        <w:rPr>
          <w:rFonts w:ascii="Arial" w:hAnsi="Arial" w:cs="Arial"/>
          <w:b/>
          <w:bCs/>
          <w:color w:val="000000"/>
        </w:rPr>
        <w:t xml:space="preserve">        </w:t>
      </w:r>
    </w:p>
    <w:p w14:paraId="1884328D">
      <w:pPr>
        <w:tabs>
          <w:tab w:val="left" w:pos="1276"/>
          <w:tab w:val="left" w:pos="3261"/>
        </w:tabs>
        <w:jc w:val="both"/>
        <w:rPr>
          <w:rFonts w:ascii="Arial" w:hAnsi="Arial" w:cs="Arial"/>
          <w:b/>
          <w:bCs/>
          <w:color w:val="000000"/>
        </w:rPr>
      </w:pPr>
    </w:p>
    <w:p w14:paraId="5BBFA84F">
      <w:pPr>
        <w:tabs>
          <w:tab w:val="left" w:pos="1276"/>
          <w:tab w:val="left" w:pos="3261"/>
        </w:tabs>
        <w:jc w:val="both"/>
        <w:rPr>
          <w:rFonts w:ascii="Arial" w:hAnsi="Arial" w:cs="Arial"/>
          <w:b/>
          <w:bCs/>
          <w:color w:val="000000"/>
        </w:rPr>
      </w:pPr>
    </w:p>
    <w:p w14:paraId="7B8322EA">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14:paraId="585A494C">
      <w:pPr>
        <w:keepNext/>
        <w:jc w:val="center"/>
        <w:outlineLvl w:val="0"/>
        <w:rPr>
          <w:rFonts w:ascii="Arial" w:hAnsi="Arial" w:cs="Arial"/>
          <w:b/>
          <w:bCs/>
          <w:color w:val="000000"/>
        </w:rPr>
      </w:pPr>
    </w:p>
    <w:p w14:paraId="173AD466">
      <w:pPr>
        <w:jc w:val="center"/>
        <w:rPr>
          <w:rFonts w:ascii="Arial" w:hAnsi="Arial" w:cs="Arial"/>
          <w:b/>
          <w:bCs/>
          <w:color w:val="000000"/>
        </w:rPr>
      </w:pPr>
      <w:r>
        <w:rPr>
          <w:rFonts w:ascii="Arial" w:hAnsi="Arial" w:cs="Arial"/>
          <w:b/>
          <w:bCs/>
          <w:color w:val="000000"/>
        </w:rPr>
        <w:t>TENDERSKU DOKUMENTACIJU</w:t>
      </w:r>
    </w:p>
    <w:p w14:paraId="43DDFD75">
      <w:pPr>
        <w:jc w:val="center"/>
        <w:rPr>
          <w:rFonts w:ascii="Arial" w:hAnsi="Arial" w:cs="Arial"/>
          <w:b/>
          <w:bCs/>
          <w:color w:val="000000"/>
        </w:rPr>
      </w:pPr>
      <w:r>
        <w:rPr>
          <w:rFonts w:ascii="Arial" w:hAnsi="Arial" w:cs="Arial"/>
          <w:b/>
          <w:bCs/>
          <w:color w:val="000000"/>
        </w:rPr>
        <w:t>ZA OTVORENI POSTUPAK JAVNE NABAVKE</w:t>
      </w:r>
    </w:p>
    <w:p w14:paraId="4F55E55A">
      <w:pPr>
        <w:jc w:val="center"/>
        <w:rPr>
          <w:rFonts w:ascii="Arial" w:hAnsi="Arial" w:cs="Arial"/>
          <w:b/>
          <w:bCs/>
          <w:color w:val="000000"/>
        </w:rPr>
      </w:pPr>
    </w:p>
    <w:p w14:paraId="5CF9A2A3">
      <w:pPr>
        <w:ind w:firstLine="2160" w:firstLineChars="900"/>
        <w:jc w:val="both"/>
        <w:rPr>
          <w:rFonts w:hint="default" w:ascii="Arial" w:hAnsi="Arial" w:cs="Arial"/>
          <w:color w:val="000000"/>
          <w:sz w:val="24"/>
          <w:szCs w:val="24"/>
          <w:lang w:val="sr-Latn-ME"/>
        </w:rPr>
      </w:pPr>
      <w:r>
        <w:rPr>
          <w:rFonts w:hint="default" w:ascii="Arial" w:hAnsi="Arial" w:cs="Arial"/>
          <w:color w:val="000000"/>
        </w:rPr>
        <w:t>Za nabavku</w:t>
      </w:r>
      <w:r>
        <w:rPr>
          <w:rFonts w:hint="default" w:ascii="Arial" w:hAnsi="Arial" w:cs="Arial"/>
          <w:color w:val="000000"/>
          <w:lang w:val="sr-Latn-ME"/>
        </w:rPr>
        <w:t>:</w:t>
      </w:r>
      <w:r>
        <w:rPr>
          <w:rFonts w:hint="default" w:ascii="Arial" w:hAnsi="Arial" w:cs="Arial"/>
          <w:color w:val="000000"/>
        </w:rPr>
        <w:t xml:space="preserve"> </w:t>
      </w:r>
      <w:r>
        <w:rPr>
          <w:rFonts w:hint="default" w:ascii="Arial" w:hAnsi="Arial" w:cs="Arial"/>
          <w:color w:val="000000"/>
          <w:sz w:val="24"/>
          <w:szCs w:val="24"/>
          <w:lang w:val="sr-Latn-ME"/>
        </w:rPr>
        <w:t>Usluge popravki i održavanja autobusa i kombi vozila</w:t>
      </w:r>
    </w:p>
    <w:p w14:paraId="5116433E">
      <w:pPr>
        <w:jc w:val="center"/>
        <w:rPr>
          <w:rFonts w:hint="default" w:ascii="Arial" w:hAnsi="Arial" w:cs="Arial"/>
          <w:color w:val="000000"/>
          <w:sz w:val="24"/>
          <w:szCs w:val="24"/>
          <w:shd w:val="clear" w:color="auto" w:fill="FFFFFF"/>
          <w:lang w:val="sr-Latn-ME"/>
        </w:rPr>
      </w:pPr>
    </w:p>
    <w:p w14:paraId="21B86AB0">
      <w:pPr>
        <w:rPr>
          <w:rFonts w:ascii="Arial" w:hAnsi="Arial" w:cs="Arial"/>
        </w:rPr>
      </w:pPr>
    </w:p>
    <w:p w14:paraId="060ABBBA">
      <w:pPr>
        <w:jc w:val="both"/>
        <w:rPr>
          <w:rFonts w:ascii="Arial" w:hAnsi="Arial" w:cs="Arial"/>
          <w:color w:val="000000"/>
        </w:rPr>
      </w:pPr>
      <w:r>
        <w:rPr>
          <w:rFonts w:ascii="Arial" w:hAnsi="Arial" w:cs="Arial"/>
          <w:color w:val="000000"/>
        </w:rPr>
        <w:t>Predmet nabavke se nabavlja:</w:t>
      </w:r>
    </w:p>
    <w:p w14:paraId="48BED0F7">
      <w:pPr>
        <w:jc w:val="both"/>
        <w:rPr>
          <w:rFonts w:ascii="Arial" w:hAnsi="Arial" w:cs="Arial"/>
          <w:color w:val="000000"/>
        </w:rPr>
      </w:pPr>
    </w:p>
    <w:p w14:paraId="5382B5DA">
      <w:pPr>
        <w:jc w:val="both"/>
        <w:rPr>
          <w:rFonts w:hint="default" w:ascii="Arial" w:hAnsi="Arial" w:cs="Arial"/>
          <w:color w:val="000000"/>
          <w:lang w:val="sr-Latn-ME"/>
        </w:rPr>
      </w:pPr>
      <w:r>
        <w:rPr>
          <w:rFonts w:ascii="Arial" w:hAnsi="Arial" w:cs="Arial"/>
          <w:color w:val="000000"/>
        </w:rPr>
        <w:sym w:font="Wingdings" w:char="00FE"/>
      </w:r>
      <w:r>
        <w:rPr>
          <w:rFonts w:ascii="Arial" w:hAnsi="Arial" w:cs="Arial"/>
          <w:color w:val="000000"/>
        </w:rPr>
        <w:t xml:space="preserve"> </w:t>
      </w:r>
      <w:r>
        <w:rPr>
          <w:rFonts w:hint="default" w:ascii="Arial" w:hAnsi="Arial" w:cs="Arial"/>
          <w:color w:val="000000"/>
          <w:lang w:val="sr-Latn-ME"/>
        </w:rPr>
        <w:t xml:space="preserve">po partijama </w:t>
      </w:r>
    </w:p>
    <w:p w14:paraId="6DCCB2B1">
      <w:pPr>
        <w:rPr>
          <w:rFonts w:ascii="Arial" w:hAnsi="Arial" w:cs="Arial"/>
          <w:color w:val="000000"/>
        </w:rPr>
      </w:pPr>
    </w:p>
    <w:p w14:paraId="36287166">
      <w:pPr>
        <w:rPr>
          <w:rFonts w:ascii="Arial" w:hAnsi="Arial" w:cs="Arial"/>
          <w:color w:val="000000"/>
        </w:rPr>
      </w:pPr>
    </w:p>
    <w:p w14:paraId="424CF41A">
      <w:pPr>
        <w:rPr>
          <w:rFonts w:ascii="Arial" w:hAnsi="Arial" w:cs="Arial"/>
          <w:color w:val="000000"/>
        </w:rPr>
      </w:pPr>
    </w:p>
    <w:p w14:paraId="12671131">
      <w:pPr>
        <w:rPr>
          <w:rFonts w:ascii="Arial" w:hAnsi="Arial" w:cs="Arial"/>
          <w:color w:val="000000"/>
        </w:rPr>
      </w:pPr>
    </w:p>
    <w:p w14:paraId="4D7EF449">
      <w:pPr>
        <w:rPr>
          <w:rFonts w:ascii="Arial" w:hAnsi="Arial" w:cs="Arial"/>
          <w:color w:val="000000"/>
        </w:rPr>
      </w:pPr>
    </w:p>
    <w:p w14:paraId="5B6AD290">
      <w:pPr>
        <w:rPr>
          <w:rFonts w:ascii="Arial" w:hAnsi="Arial" w:cs="Arial"/>
          <w:color w:val="000000"/>
        </w:rPr>
      </w:pPr>
    </w:p>
    <w:p w14:paraId="337CBFCA">
      <w:pPr>
        <w:rPr>
          <w:rFonts w:ascii="Arial" w:hAnsi="Arial" w:cs="Arial"/>
          <w:color w:val="000000"/>
        </w:rPr>
      </w:pPr>
    </w:p>
    <w:p w14:paraId="60F93750">
      <w:pPr>
        <w:rPr>
          <w:rFonts w:ascii="Arial" w:hAnsi="Arial" w:cs="Arial"/>
          <w:color w:val="000000"/>
        </w:rPr>
      </w:pPr>
    </w:p>
    <w:p w14:paraId="06C75283">
      <w:pPr>
        <w:rPr>
          <w:rFonts w:ascii="Arial" w:hAnsi="Arial" w:cs="Arial"/>
          <w:color w:val="000000"/>
        </w:rPr>
      </w:pPr>
    </w:p>
    <w:p w14:paraId="4CD9F899">
      <w:pPr>
        <w:rPr>
          <w:rFonts w:ascii="Arial" w:hAnsi="Arial" w:cs="Arial"/>
          <w:color w:val="000000"/>
        </w:rPr>
      </w:pPr>
    </w:p>
    <w:p w14:paraId="7FFD4CD4">
      <w:pPr>
        <w:rPr>
          <w:rFonts w:ascii="Arial" w:hAnsi="Arial" w:cs="Arial"/>
          <w:color w:val="000000"/>
        </w:rPr>
      </w:pPr>
    </w:p>
    <w:p w14:paraId="01DC6427">
      <w:pPr>
        <w:rPr>
          <w:rFonts w:ascii="Arial" w:hAnsi="Arial" w:cs="Arial"/>
          <w:color w:val="000000"/>
        </w:rPr>
      </w:pPr>
    </w:p>
    <w:p w14:paraId="6B1B5ACF">
      <w:pPr>
        <w:rPr>
          <w:rFonts w:ascii="Arial" w:hAnsi="Arial" w:cs="Arial"/>
          <w:color w:val="000000"/>
        </w:rPr>
      </w:pPr>
    </w:p>
    <w:p w14:paraId="2A0B125E">
      <w:pPr>
        <w:rPr>
          <w:rFonts w:ascii="Arial" w:hAnsi="Arial" w:cs="Arial"/>
          <w:color w:val="000000"/>
        </w:rPr>
      </w:pPr>
    </w:p>
    <w:p w14:paraId="43595D4C">
      <w:pPr>
        <w:rPr>
          <w:rFonts w:ascii="Arial" w:hAnsi="Arial" w:cs="Arial"/>
          <w:color w:val="000000"/>
        </w:rPr>
      </w:pPr>
    </w:p>
    <w:p w14:paraId="124142AC">
      <w:pPr>
        <w:rPr>
          <w:rFonts w:ascii="Arial" w:hAnsi="Arial" w:cs="Arial"/>
          <w:color w:val="000000"/>
        </w:rPr>
      </w:pPr>
    </w:p>
    <w:p w14:paraId="3B1280A0">
      <w:pPr>
        <w:rPr>
          <w:rFonts w:ascii="Arial" w:hAnsi="Arial" w:cs="Arial"/>
          <w:color w:val="000000"/>
        </w:rPr>
      </w:pPr>
    </w:p>
    <w:p w14:paraId="25CD0A40">
      <w:pPr>
        <w:rPr>
          <w:rFonts w:ascii="Arial" w:hAnsi="Arial" w:cs="Arial"/>
          <w:color w:val="000000"/>
        </w:rPr>
      </w:pPr>
    </w:p>
    <w:p w14:paraId="7F1069B5">
      <w:pPr>
        <w:rPr>
          <w:rFonts w:ascii="Arial" w:hAnsi="Arial" w:cs="Arial"/>
          <w:color w:val="000000"/>
        </w:rPr>
      </w:pPr>
    </w:p>
    <w:p w14:paraId="09A749D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r>
        <w:rPr>
          <w:rFonts w:ascii="Arial" w:hAnsi="Arial" w:cs="Arial"/>
          <w:b/>
          <w:color w:val="000000"/>
        </w:rPr>
        <w:t xml:space="preserve"> </w:t>
      </w:r>
    </w:p>
    <w:p w14:paraId="5CCB02A4">
      <w:pPr>
        <w:rPr>
          <w:rFonts w:ascii="Arial" w:hAnsi="Arial" w:cs="Arial"/>
          <w:b/>
          <w:bCs/>
          <w:color w:val="000000"/>
        </w:rPr>
      </w:pPr>
      <w:r>
        <w:rPr>
          <w:rFonts w:ascii="Arial" w:hAnsi="Arial" w:cs="Arial"/>
          <w:b/>
          <w:bCs/>
          <w:color w:val="000000"/>
        </w:rPr>
        <w:tab/>
      </w:r>
    </w:p>
    <w:p w14:paraId="5DB134F9">
      <w:pPr>
        <w:ind w:left="360"/>
        <w:jc w:val="center"/>
        <w:rPr>
          <w:rFonts w:ascii="Arial" w:hAnsi="Arial" w:cs="Arial"/>
          <w:b/>
          <w:bCs/>
          <w:color w:val="000000"/>
        </w:rPr>
      </w:pPr>
    </w:p>
    <w:p w14:paraId="1788628C">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14:paraId="539DA475">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14:paraId="6F1FAC80">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14:paraId="5A89AF61">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14:paraId="327F545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14:paraId="1D96538C">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14:paraId="1F839B14">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14:paraId="3EADA761">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14:paraId="56AFFE77">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14:paraId="661C3952">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14:paraId="0D7104F2">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14:paraId="5CD8D8FD">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14:paraId="43B099CE">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14:paraId="45A6C265">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14:paraId="09513571">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14:paraId="25A29562">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14:paraId="0EF41E6C">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14:paraId="4B87E6E4">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14:paraId="1E1182C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14:paraId="0BB94F3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14:paraId="62181F20">
      <w:pPr>
        <w:rPr>
          <w:rFonts w:ascii="Arial" w:hAnsi="Arial" w:eastAsia="Calibri" w:cs="Arial"/>
          <w:color w:val="000000"/>
        </w:rPr>
      </w:pPr>
    </w:p>
    <w:p w14:paraId="667676D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14:paraId="35283E76">
      <w:pPr>
        <w:rPr>
          <w:rFonts w:ascii="Arial" w:hAnsi="Arial" w:eastAsia="Calibri" w:cs="Arial"/>
          <w:color w:val="000000"/>
        </w:rPr>
      </w:pPr>
    </w:p>
    <w:p w14:paraId="59005426">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14:paraId="5304D10F">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14:paraId="49C1B37B">
      <w:pPr>
        <w:rPr>
          <w:rFonts w:ascii="Arial" w:hAnsi="Arial" w:eastAsia="Calibri" w:cs="Arial"/>
          <w:color w:val="000000"/>
        </w:rPr>
      </w:pPr>
    </w:p>
    <w:p w14:paraId="1D0932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14:paraId="6C3A7E65">
      <w:pPr>
        <w:jc w:val="both"/>
        <w:rPr>
          <w:rFonts w:ascii="Arial" w:hAnsi="Arial" w:cs="Arial"/>
          <w:b/>
          <w:bCs/>
          <w:color w:val="000000"/>
        </w:rPr>
      </w:pPr>
    </w:p>
    <w:p w14:paraId="28A837B9">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rPr>
      </w:pPr>
      <w:r>
        <w:rPr>
          <w:rFonts w:ascii="Arial" w:hAnsi="Arial" w:eastAsia="Calibri" w:cs="Arial"/>
          <w:b/>
          <w:bCs/>
          <w:color w:val="000000"/>
        </w:rPr>
        <w:t>Procijenjena vrijednost predment</w:t>
      </w:r>
      <w:r>
        <w:rPr>
          <w:rFonts w:ascii="Arial" w:hAnsi="Arial" w:eastAsia="Calibri" w:cs="Arial"/>
          <w:b/>
          <w:bCs/>
          <w:color w:val="000000"/>
          <w:lang w:val="sr-Latn-ME"/>
        </w:rPr>
        <w:t xml:space="preserve">e </w:t>
      </w:r>
      <w:r>
        <w:rPr>
          <w:rFonts w:ascii="Arial" w:hAnsi="Arial" w:eastAsia="Calibri" w:cs="Arial"/>
          <w:b/>
          <w:bCs/>
          <w:color w:val="000000"/>
        </w:rPr>
        <w:t>nabavke:</w:t>
      </w:r>
      <w:r>
        <w:rPr>
          <w:rFonts w:ascii="Arial" w:hAnsi="Arial" w:eastAsia="Calibri" w:cs="Arial"/>
          <w:b/>
          <w:bCs/>
          <w:color w:val="000000"/>
          <w:vertAlign w:val="superscript"/>
        </w:rPr>
        <w:footnoteReference w:id="4"/>
      </w:r>
    </w:p>
    <w:p w14:paraId="5F2F5EBB">
      <w:pPr>
        <w:spacing w:after="160" w:line="259" w:lineRule="auto"/>
        <w:jc w:val="both"/>
        <w:rPr>
          <w:rFonts w:ascii="Arial" w:hAnsi="Arial" w:eastAsia="Calibri" w:cs="Arial"/>
          <w:color w:val="000000"/>
        </w:rPr>
      </w:pPr>
    </w:p>
    <w:p w14:paraId="6FEC71FA">
      <w:pPr>
        <w:spacing w:after="160" w:line="259" w:lineRule="auto"/>
        <w:jc w:val="both"/>
        <w:rPr>
          <w:rFonts w:ascii="Arial" w:hAnsi="Arial" w:eastAsia="Calibri" w:cs="Arial"/>
          <w:color w:val="000000"/>
          <w:sz w:val="24"/>
          <w:szCs w:val="24"/>
        </w:rPr>
      </w:pPr>
      <w:r>
        <w:rPr>
          <w:rFonts w:ascii="Arial" w:hAnsi="Arial" w:eastAsia="Calibri" w:cs="Arial"/>
          <w:color w:val="000000"/>
        </w:rPr>
        <w:sym w:font="Wingdings" w:char="F0A8"/>
      </w:r>
      <w:r>
        <w:rPr>
          <w:rFonts w:ascii="Arial" w:hAnsi="Arial" w:eastAsia="Calibri" w:cs="Arial"/>
          <w:b/>
          <w:bCs/>
          <w:color w:val="000000"/>
          <w:sz w:val="24"/>
          <w:szCs w:val="24"/>
        </w:rPr>
        <w:t>Procijenjena vrijednost predmeta nabavke bez zaključivanja okvirnog sporazuma</w:t>
      </w:r>
      <w:r>
        <w:rPr>
          <w:rFonts w:ascii="Arial" w:hAnsi="Arial" w:eastAsia="Calibri" w:cs="Arial"/>
          <w:color w:val="000000"/>
          <w:sz w:val="24"/>
          <w:szCs w:val="24"/>
        </w:rPr>
        <w:t>:</w:t>
      </w:r>
    </w:p>
    <w:p w14:paraId="45CA8AED">
      <w:pPr>
        <w:spacing w:after="160" w:line="259" w:lineRule="auto"/>
        <w:jc w:val="both"/>
        <w:rPr>
          <w:rFonts w:hint="default" w:ascii="Arial" w:hAnsi="Arial" w:eastAsia="Calibri" w:cs="Arial"/>
          <w:color w:val="000000"/>
          <w:sz w:val="24"/>
          <w:szCs w:val="24"/>
          <w:lang w:val="sr-Latn-ME"/>
        </w:rPr>
      </w:pPr>
      <w:r>
        <w:rPr>
          <w:rFonts w:hint="default" w:ascii="Arial" w:hAnsi="Arial" w:eastAsia="Calibri" w:cs="Arial"/>
          <w:color w:val="000000"/>
          <w:sz w:val="24"/>
          <w:szCs w:val="24"/>
          <w:lang w:val="sr-Latn-ME"/>
        </w:rPr>
        <w:t>Po partijama:</w:t>
      </w:r>
    </w:p>
    <w:p w14:paraId="1B625F8C">
      <w:pPr>
        <w:jc w:val="both"/>
        <w:rPr>
          <w:rFonts w:hint="default" w:ascii="Arial" w:hAnsi="Arial" w:cs="Arial"/>
          <w:color w:val="auto"/>
          <w:sz w:val="22"/>
          <w:szCs w:val="22"/>
          <w:shd w:val="clear" w:color="auto" w:fill="auto"/>
          <w:lang w:val="sr-Latn-ME"/>
        </w:rPr>
      </w:pPr>
      <w:r>
        <w:rPr>
          <w:rFonts w:hint="default" w:ascii="Arial" w:hAnsi="Arial" w:cs="Arial"/>
          <w:color w:val="auto"/>
          <w:sz w:val="22"/>
          <w:szCs w:val="22"/>
          <w:shd w:val="clear" w:color="auto" w:fill="auto"/>
          <w:lang w:val="sr-Latn-ME"/>
        </w:rPr>
        <w:t xml:space="preserve">Partija 1: </w:t>
      </w:r>
      <w:r>
        <w:rPr>
          <w:rFonts w:hint="default" w:ascii="Arial" w:hAnsi="Arial" w:eastAsia="sans-serif" w:cs="Arial"/>
          <w:i w:val="0"/>
          <w:iCs w:val="0"/>
          <w:caps w:val="0"/>
          <w:color w:val="auto"/>
          <w:spacing w:val="0"/>
          <w:sz w:val="22"/>
          <w:szCs w:val="22"/>
          <w:shd w:val="clear" w:color="auto" w:fill="auto"/>
        </w:rPr>
        <w:t>Usluge popravki i održavanja kombi vozila</w:t>
      </w:r>
      <w:r>
        <w:rPr>
          <w:rFonts w:hint="default" w:ascii="Arial" w:hAnsi="Arial" w:eastAsia="sans-serif" w:cs="Arial"/>
          <w:i w:val="0"/>
          <w:iCs w:val="0"/>
          <w:caps w:val="0"/>
          <w:color w:val="auto"/>
          <w:spacing w:val="0"/>
          <w:sz w:val="22"/>
          <w:szCs w:val="22"/>
          <w:shd w:val="clear" w:color="auto" w:fill="auto"/>
          <w:lang w:val="sr-Latn-ME"/>
        </w:rPr>
        <w:t>,</w:t>
      </w:r>
      <w:r>
        <w:rPr>
          <w:rFonts w:hint="default" w:ascii="Arial" w:hAnsi="Arial" w:cs="Arial"/>
          <w:color w:val="auto"/>
          <w:sz w:val="22"/>
          <w:szCs w:val="22"/>
          <w:shd w:val="clear" w:color="auto" w:fill="auto"/>
          <w:lang w:val="sr-Latn-ME"/>
        </w:rPr>
        <w:t xml:space="preserve"> procijenjena vrijednost: 10.000,00 eura bez PDV-a</w:t>
      </w:r>
    </w:p>
    <w:p w14:paraId="38D6C45E">
      <w:pPr>
        <w:jc w:val="both"/>
        <w:rPr>
          <w:rFonts w:hint="default" w:ascii="Arial" w:hAnsi="Arial" w:cs="Arial"/>
          <w:color w:val="auto"/>
          <w:sz w:val="22"/>
          <w:szCs w:val="22"/>
          <w:shd w:val="clear" w:color="auto" w:fill="auto"/>
          <w:lang w:val="sr-Latn-ME"/>
        </w:rPr>
      </w:pPr>
      <w:r>
        <w:rPr>
          <w:rFonts w:hint="default" w:ascii="Arial" w:hAnsi="Arial" w:cs="Arial"/>
          <w:color w:val="auto"/>
          <w:sz w:val="22"/>
          <w:szCs w:val="22"/>
          <w:shd w:val="clear" w:color="auto" w:fill="auto"/>
          <w:lang w:val="sr-Latn-ME"/>
        </w:rPr>
        <w:t xml:space="preserve">Partija 2: </w:t>
      </w:r>
      <w:r>
        <w:rPr>
          <w:rFonts w:hint="default" w:ascii="Arial" w:hAnsi="Arial" w:eastAsia="sans-serif" w:cs="Arial"/>
          <w:i w:val="0"/>
          <w:iCs w:val="0"/>
          <w:caps w:val="0"/>
          <w:color w:val="auto"/>
          <w:spacing w:val="0"/>
          <w:sz w:val="22"/>
          <w:szCs w:val="22"/>
          <w:shd w:val="clear" w:color="auto" w:fill="auto"/>
        </w:rPr>
        <w:t>Usluge popravki i održavanja autobusa</w:t>
      </w:r>
      <w:r>
        <w:rPr>
          <w:rFonts w:hint="default" w:ascii="Arial" w:hAnsi="Arial" w:eastAsia="sans-serif" w:cs="Arial"/>
          <w:i w:val="0"/>
          <w:iCs w:val="0"/>
          <w:caps w:val="0"/>
          <w:color w:val="auto"/>
          <w:spacing w:val="0"/>
          <w:sz w:val="22"/>
          <w:szCs w:val="22"/>
          <w:shd w:val="clear" w:color="auto" w:fill="auto"/>
          <w:lang w:val="sr-Latn-ME"/>
        </w:rPr>
        <w:t>,</w:t>
      </w:r>
      <w:r>
        <w:rPr>
          <w:rFonts w:hint="default" w:ascii="Arial" w:hAnsi="Arial" w:cs="Arial"/>
          <w:color w:val="auto"/>
          <w:sz w:val="22"/>
          <w:szCs w:val="22"/>
          <w:shd w:val="clear" w:color="auto" w:fill="auto"/>
          <w:lang w:val="sr-Latn-ME"/>
        </w:rPr>
        <w:t xml:space="preserve"> procijenjena vrijednost: 60.000,00 eura bez PDV-a.</w:t>
      </w:r>
    </w:p>
    <w:p w14:paraId="36EDC822">
      <w:pPr>
        <w:jc w:val="both"/>
        <w:rPr>
          <w:rFonts w:hint="default" w:ascii="Arial" w:hAnsi="Arial" w:cs="Arial"/>
          <w:color w:val="000000"/>
          <w:sz w:val="24"/>
          <w:szCs w:val="24"/>
          <w:lang w:val="sr-Latn-ME"/>
        </w:rPr>
      </w:pPr>
    </w:p>
    <w:p w14:paraId="76D57D05">
      <w:pPr>
        <w:jc w:val="both"/>
        <w:rPr>
          <w:rFonts w:hint="default" w:ascii="Arial" w:hAnsi="Arial" w:cs="Arial"/>
          <w:b w:val="0"/>
          <w:bCs w:val="0"/>
          <w:color w:val="000000"/>
          <w:sz w:val="24"/>
          <w:szCs w:val="24"/>
          <w:lang w:val="sr-Latn-ME"/>
        </w:rPr>
      </w:pPr>
      <w:r>
        <w:rPr>
          <w:rFonts w:hint="default" w:ascii="Arial" w:hAnsi="Arial" w:cs="Arial"/>
          <w:b w:val="0"/>
          <w:bCs w:val="0"/>
          <w:color w:val="000000"/>
          <w:sz w:val="24"/>
          <w:szCs w:val="24"/>
          <w:lang w:val="sr-Latn-ME"/>
        </w:rPr>
        <w:t>Ukupno: 70.000,00 eura bez PDV-a</w:t>
      </w:r>
    </w:p>
    <w:p w14:paraId="331CB1C3">
      <w:pPr>
        <w:spacing w:after="160" w:line="259" w:lineRule="auto"/>
        <w:jc w:val="both"/>
        <w:rPr>
          <w:rFonts w:ascii="Arial" w:hAnsi="Arial" w:cs="Arial"/>
          <w:color w:val="000000"/>
          <w:sz w:val="22"/>
          <w:szCs w:val="22"/>
          <w:lang w:val="sr-Latn-ME"/>
        </w:rPr>
      </w:pPr>
    </w:p>
    <w:p w14:paraId="0D65CE24">
      <w:pPr>
        <w:jc w:val="both"/>
        <w:rPr>
          <w:rFonts w:ascii="Arial" w:hAnsi="Arial" w:cs="Arial"/>
          <w:color w:val="000000"/>
        </w:rPr>
      </w:pPr>
    </w:p>
    <w:p w14:paraId="6852F9A3">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5"/>
      </w:r>
    </w:p>
    <w:p w14:paraId="72637FBA">
      <w:pPr>
        <w:jc w:val="both"/>
        <w:rPr>
          <w:rFonts w:ascii="Arial" w:hAnsi="Arial" w:cs="Arial"/>
          <w:color w:val="000000"/>
        </w:rPr>
      </w:pPr>
    </w:p>
    <w:p w14:paraId="3344877F">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rPr>
      </w:pPr>
      <w:r>
        <w:rPr>
          <w:rFonts w:ascii="Arial" w:hAnsi="Arial" w:cs="Arial"/>
          <w:color w:val="000000"/>
        </w:rPr>
        <w:t>Zaključiće se okvirni sporazum:</w:t>
      </w:r>
    </w:p>
    <w:p w14:paraId="369DF5E6">
      <w:pPr>
        <w:jc w:val="both"/>
        <w:rPr>
          <w:rFonts w:ascii="Arial" w:hAnsi="Arial" w:cs="Arial"/>
          <w:color w:val="000000"/>
        </w:rPr>
      </w:pPr>
    </w:p>
    <w:p w14:paraId="51158E99">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20E42857">
      <w:pPr>
        <w:jc w:val="both"/>
        <w:rPr>
          <w:rFonts w:ascii="Arial" w:hAnsi="Arial" w:cs="Arial"/>
          <w:color w:val="000000"/>
        </w:rPr>
      </w:pPr>
    </w:p>
    <w:p w14:paraId="34F626FE">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14:paraId="269530D0">
      <w:pPr>
        <w:jc w:val="both"/>
        <w:rPr>
          <w:rFonts w:ascii="Arial" w:hAnsi="Arial" w:cs="Arial"/>
          <w:color w:val="000000"/>
        </w:rPr>
      </w:pPr>
    </w:p>
    <w:p w14:paraId="38EC556C">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14:paraId="7013CEBC">
      <w:pPr>
        <w:jc w:val="both"/>
        <w:rPr>
          <w:rFonts w:ascii="Arial" w:hAnsi="Arial" w:cs="Arial"/>
          <w:color w:val="000000"/>
        </w:rPr>
      </w:pPr>
    </w:p>
    <w:p w14:paraId="67795AF0">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14:paraId="4C56AC44">
      <w:pPr>
        <w:jc w:val="both"/>
        <w:rPr>
          <w:rFonts w:ascii="Arial" w:hAnsi="Arial" w:cs="Arial"/>
        </w:rPr>
      </w:pPr>
    </w:p>
    <w:p w14:paraId="0AA68E4E">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14:paraId="776DB4AB">
      <w:pPr>
        <w:jc w:val="both"/>
        <w:rPr>
          <w:rFonts w:ascii="Arial" w:hAnsi="Arial" w:cs="Arial"/>
        </w:rPr>
      </w:pPr>
    </w:p>
    <w:p w14:paraId="2CA97D4E">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14:paraId="35D06F99">
      <w:pPr>
        <w:jc w:val="both"/>
        <w:rPr>
          <w:rFonts w:ascii="Arial" w:hAnsi="Arial" w:cs="Arial"/>
        </w:rPr>
      </w:pPr>
    </w:p>
    <w:p w14:paraId="646348E5">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14:paraId="62EB975A">
      <w:pPr>
        <w:jc w:val="both"/>
        <w:rPr>
          <w:rFonts w:ascii="Arial" w:hAnsi="Arial" w:cs="Arial"/>
          <w:color w:val="222A35"/>
        </w:rPr>
      </w:pPr>
    </w:p>
    <w:p w14:paraId="3BE1FB67">
      <w:pPr>
        <w:jc w:val="both"/>
        <w:rPr>
          <w:rFonts w:ascii="Arial" w:hAnsi="Arial" w:cs="Arial"/>
          <w:color w:val="222A35"/>
        </w:rPr>
      </w:pPr>
      <w:r>
        <w:rPr>
          <w:rFonts w:ascii="Arial" w:hAnsi="Arial" w:cs="Arial"/>
          <w:color w:val="222A35"/>
        </w:rPr>
        <w:t xml:space="preserve"> </w:t>
      </w:r>
      <w:r>
        <w:rPr>
          <w:rFonts w:ascii="Arial" w:hAnsi="Arial" w:cs="Arial"/>
          <w:b/>
          <w:color w:val="000000"/>
          <w:u w:val="single"/>
        </w:rPr>
        <w:t>Nije primjenivo.</w:t>
      </w:r>
    </w:p>
    <w:p w14:paraId="0F0D6CF1">
      <w:pPr>
        <w:jc w:val="both"/>
        <w:rPr>
          <w:rFonts w:ascii="Arial" w:hAnsi="Arial" w:cs="Arial"/>
        </w:rPr>
      </w:pPr>
    </w:p>
    <w:p w14:paraId="6093259F">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14:paraId="0B00E2D6">
      <w:pPr>
        <w:jc w:val="both"/>
        <w:rPr>
          <w:rFonts w:ascii="Arial" w:hAnsi="Arial" w:cs="Arial"/>
          <w:color w:val="FF0000"/>
        </w:rPr>
      </w:pPr>
    </w:p>
    <w:p w14:paraId="4F4AEDBF">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14:paraId="1EE81767">
      <w:pPr>
        <w:jc w:val="both"/>
        <w:rPr>
          <w:rFonts w:ascii="Arial" w:hAnsi="Arial" w:cs="Arial"/>
          <w:color w:val="222A35"/>
        </w:rPr>
      </w:pPr>
    </w:p>
    <w:p w14:paraId="6D1BFF27">
      <w:pPr>
        <w:jc w:val="both"/>
        <w:rPr>
          <w:rFonts w:ascii="Arial" w:hAnsi="Arial" w:cs="Arial"/>
          <w:color w:val="222A35"/>
        </w:rPr>
      </w:pPr>
      <w:r>
        <w:rPr>
          <w:rFonts w:ascii="Arial" w:hAnsi="Arial" w:cs="Arial"/>
          <w:b/>
          <w:color w:val="000000"/>
          <w:u w:val="single"/>
        </w:rPr>
        <w:t>Nije primjenivo.</w:t>
      </w:r>
    </w:p>
    <w:p w14:paraId="1EA9874C">
      <w:pPr>
        <w:jc w:val="both"/>
        <w:rPr>
          <w:rFonts w:ascii="Arial" w:hAnsi="Arial" w:cs="Arial"/>
          <w:color w:val="222A35"/>
        </w:rPr>
      </w:pPr>
    </w:p>
    <w:p w14:paraId="13CB03EC">
      <w:pPr>
        <w:jc w:val="both"/>
        <w:rPr>
          <w:rFonts w:ascii="Arial" w:hAnsi="Arial" w:cs="Arial"/>
          <w:color w:val="000000"/>
        </w:rPr>
      </w:pPr>
    </w:p>
    <w:p w14:paraId="064E53FC">
      <w:pPr>
        <w:jc w:val="both"/>
        <w:rPr>
          <w:rFonts w:ascii="Arial" w:hAnsi="Arial" w:cs="Arial"/>
          <w:b/>
          <w:bCs/>
          <w:color w:val="FF0000"/>
        </w:rPr>
      </w:pPr>
    </w:p>
    <w:p w14:paraId="19F11872">
      <w:pPr>
        <w:jc w:val="both"/>
        <w:rPr>
          <w:rFonts w:ascii="Arial" w:hAnsi="Arial" w:cs="Arial"/>
          <w:b/>
          <w:bCs/>
          <w:color w:val="FF0000"/>
        </w:rPr>
      </w:pPr>
    </w:p>
    <w:p w14:paraId="33A647E9">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14:paraId="2715DE5E">
      <w:pPr>
        <w:jc w:val="both"/>
        <w:rPr>
          <w:rFonts w:ascii="Arial" w:hAnsi="Arial" w:cs="Arial"/>
          <w:b/>
          <w:bCs/>
          <w:color w:val="FF0000"/>
        </w:rPr>
      </w:pPr>
    </w:p>
    <w:p w14:paraId="080AEB2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2F84E14D">
      <w:pPr>
        <w:jc w:val="both"/>
        <w:rPr>
          <w:rFonts w:ascii="Arial" w:hAnsi="Arial" w:cs="Arial"/>
          <w:b/>
          <w:bCs/>
          <w:color w:val="FF0000"/>
        </w:rPr>
      </w:pPr>
    </w:p>
    <w:p w14:paraId="6D3AC22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rPr>
      </w:pPr>
      <w:bookmarkStart w:id="3" w:name="_Toc62730556"/>
      <w:r>
        <w:rPr>
          <w:rFonts w:ascii="Arial" w:hAnsi="Arial" w:cs="Arial"/>
          <w:b/>
        </w:rPr>
        <w:t>NAČIN UTVRĐIVANJA EKVIVALENTNOSTI</w:t>
      </w:r>
      <w:bookmarkEnd w:id="3"/>
    </w:p>
    <w:p w14:paraId="23AE4D07">
      <w:pPr>
        <w:jc w:val="both"/>
        <w:rPr>
          <w:rFonts w:ascii="Arial" w:hAnsi="Arial" w:cs="Arial"/>
          <w:bCs/>
          <w:color w:val="FF0000"/>
        </w:rPr>
      </w:pPr>
    </w:p>
    <w:p w14:paraId="23E62962">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14:paraId="5EA7D1FE">
      <w:pPr>
        <w:jc w:val="both"/>
        <w:rPr>
          <w:rFonts w:ascii="Arial" w:hAnsi="Arial" w:cs="Arial"/>
          <w:bCs/>
          <w:color w:val="FF0000"/>
        </w:rPr>
      </w:pPr>
    </w:p>
    <w:p w14:paraId="5489380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bookmarkStart w:id="4" w:name="_Toc62730557"/>
      <w:r>
        <w:rPr>
          <w:rFonts w:ascii="Arial" w:hAnsi="Arial" w:cs="Arial"/>
          <w:b/>
        </w:rPr>
        <w:t>OSNOVI ZA OBAVEZNO ISKLJUČENJE IZ POSTUPKA JAVNE NABAVKE</w:t>
      </w:r>
      <w:bookmarkEnd w:id="4"/>
    </w:p>
    <w:p w14:paraId="0407BD42">
      <w:pPr>
        <w:jc w:val="both"/>
        <w:rPr>
          <w:rFonts w:ascii="Arial" w:hAnsi="Arial" w:cs="Arial"/>
        </w:rPr>
      </w:pPr>
    </w:p>
    <w:p w14:paraId="201DE9AA">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7C560FA8">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1AD2AA82">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7543D791">
      <w:pPr>
        <w:numPr>
          <w:ilvl w:val="0"/>
          <w:numId w:val="6"/>
        </w:numPr>
        <w:rPr>
          <w:rFonts w:ascii="Arial" w:hAnsi="Arial" w:cs="Arial"/>
          <w:lang w:val="sr-Latn-ME"/>
        </w:rPr>
      </w:pPr>
      <w:r>
        <w:rPr>
          <w:rFonts w:ascii="Arial" w:hAnsi="Arial" w:cs="Arial"/>
          <w:lang w:val="sr-Latn-ME"/>
        </w:rPr>
        <w:t>ne ispunjava uslov iz člana 99 ovog zakona;</w:t>
      </w:r>
    </w:p>
    <w:p w14:paraId="2CF301A9">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6FDF6608">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6967FD2D">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12980A1D">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70A3D36">
      <w:pPr>
        <w:numPr>
          <w:ilvl w:val="0"/>
          <w:numId w:val="6"/>
        </w:numPr>
        <w:rPr>
          <w:rFonts w:ascii="Arial" w:hAnsi="Arial" w:cs="Arial"/>
          <w:lang w:val="sr-Latn-ME"/>
        </w:rPr>
      </w:pPr>
      <w:r>
        <w:rPr>
          <w:rFonts w:ascii="Arial" w:hAnsi="Arial" w:cs="Arial"/>
          <w:lang w:val="sr-Latn-ME"/>
        </w:rPr>
        <w:t>postoji drugi razlog propisan ovim zakonom.</w:t>
      </w:r>
    </w:p>
    <w:p w14:paraId="689EB11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r>
        <w:rPr>
          <w:rFonts w:ascii="Arial" w:hAnsi="Arial" w:cs="Arial"/>
          <w:b/>
        </w:rPr>
        <w:t>SREDSTVA FINANSIJSKOG OBEZBJEĐENJA UGOVORA O JAVNOJ NABAVCI</w:t>
      </w:r>
      <w:bookmarkEnd w:id="5"/>
    </w:p>
    <w:p w14:paraId="1159FACB">
      <w:pPr>
        <w:jc w:val="both"/>
        <w:rPr>
          <w:rFonts w:ascii="Arial" w:hAnsi="Arial" w:cs="Arial"/>
          <w:color w:val="000000"/>
        </w:rPr>
      </w:pPr>
    </w:p>
    <w:p w14:paraId="1203D388">
      <w:pPr>
        <w:jc w:val="both"/>
        <w:rPr>
          <w:rFonts w:hint="default" w:ascii="Arial" w:hAnsi="Arial" w:cs="Arial"/>
          <w:color w:val="auto"/>
          <w:sz w:val="24"/>
          <w:szCs w:val="24"/>
          <w:shd w:val="clear" w:color="auto" w:fill="auto"/>
        </w:rPr>
      </w:pPr>
      <w:bookmarkStart w:id="6" w:name="_Toc62730559"/>
      <w:r>
        <w:rPr>
          <w:rFonts w:ascii="Arial" w:hAnsi="Arial" w:cs="Arial"/>
          <w:color w:val="000000"/>
        </w:rPr>
        <w:sym w:font="Wingdings" w:char="00FE"/>
      </w:r>
      <w:r>
        <w:rPr>
          <w:rFonts w:hint="default" w:ascii="Arial" w:hAnsi="Arial" w:eastAsia="sans-serif" w:cs="Arial"/>
          <w:i w:val="0"/>
          <w:iCs w:val="0"/>
          <w:caps w:val="0"/>
          <w:color w:val="auto"/>
          <w:spacing w:val="0"/>
          <w:sz w:val="24"/>
          <w:szCs w:val="24"/>
          <w:shd w:val="clear" w:color="auto" w:fill="auto"/>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sa rokom vazenja 10 dana dužim od ugovorenog roka.</w:t>
      </w:r>
    </w:p>
    <w:p w14:paraId="12B933B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rPr>
      </w:pPr>
      <w:r>
        <w:rPr>
          <w:rFonts w:ascii="Arial" w:hAnsi="Arial" w:cs="Arial"/>
          <w:b/>
        </w:rPr>
        <w:t>METODOLOGIJA VREDNOVANJA PONUDA</w:t>
      </w:r>
      <w:bookmarkEnd w:id="6"/>
    </w:p>
    <w:p w14:paraId="086FDA89">
      <w:pPr>
        <w:rPr>
          <w:rFonts w:ascii="Arial" w:hAnsi="Arial" w:cs="Arial"/>
        </w:rPr>
      </w:pPr>
    </w:p>
    <w:p w14:paraId="6C226702">
      <w:pPr>
        <w:jc w:val="both"/>
        <w:rPr>
          <w:rFonts w:ascii="Arial" w:hAnsi="Arial" w:cs="Arial"/>
          <w:sz w:val="24"/>
          <w:szCs w:val="24"/>
        </w:rPr>
      </w:pPr>
      <w:r>
        <w:rPr>
          <w:rFonts w:ascii="Arial" w:hAnsi="Arial" w:cs="Arial"/>
          <w:sz w:val="24"/>
          <w:szCs w:val="24"/>
        </w:rPr>
        <w:t>Naručilac će u postupku javne nabavki izabrati ekonomski najpovoljniju ponudu, primjenom pristupa isplativosti, po osnovu kriterijuma</w:t>
      </w:r>
      <w:r>
        <w:rPr>
          <w:rFonts w:ascii="Arial" w:hAnsi="Arial" w:cs="Arial"/>
          <w:sz w:val="24"/>
          <w:szCs w:val="24"/>
          <w:vertAlign w:val="superscript"/>
        </w:rPr>
        <w:footnoteReference w:id="6"/>
      </w:r>
      <w:r>
        <w:rPr>
          <w:rFonts w:ascii="Arial" w:hAnsi="Arial" w:cs="Arial"/>
          <w:sz w:val="24"/>
          <w:szCs w:val="24"/>
        </w:rPr>
        <w:t xml:space="preserve">: </w:t>
      </w:r>
    </w:p>
    <w:p w14:paraId="473AAB9C">
      <w:pPr>
        <w:rPr>
          <w:rFonts w:ascii="Arial" w:hAnsi="Arial" w:cs="Arial"/>
          <w:i/>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 xml:space="preserve">odnos cijene i kvaliteta </w:t>
      </w:r>
    </w:p>
    <w:p w14:paraId="662012D8">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Naručilac se opredijelio za vrednovanje ponuda po kriterijumu odnos cijene i kvaliteta, koje će se vršiti na osnovu sljedećih parametara:</w:t>
      </w:r>
    </w:p>
    <w:p w14:paraId="35981651">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1. Parametar: Cijena (C) ..................maksimalan broj bodova 90</w:t>
      </w:r>
    </w:p>
    <w:p w14:paraId="26F93FEE">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2. Parametar: Kvalitet (K) ...............maksimalan broj bodova 10 </w:t>
      </w:r>
    </w:p>
    <w:p w14:paraId="017FC44C">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Ukupan broj bodova = broj bodova za ponuđenu cijenu (C) + broj bodova za kvalitet (K) </w:t>
      </w:r>
    </w:p>
    <w:p w14:paraId="18D1EE54">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1.Parametar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1B258F83">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Broj bodova(C)= (najniža ponuđena cijena bez PDV / ponuđena cijena bez PDV) ×90 </w:t>
      </w:r>
    </w:p>
    <w:p w14:paraId="0253D475">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Ako je ponuđena cijena 0,00 EUR-a prilikom vrednovanja te cijene po parametru najniža ponuđena cijena uzima se da je ponuđena cijena 0,01 EUR. </w:t>
      </w:r>
    </w:p>
    <w:p w14:paraId="5AC56F53">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2. Parametar kvalitet (K) vrednovaće se na sljedeći način: max 10 bodova za izbor najpovoljnije ponude primjenom parametra kvalitet, kao osnova za vrednovanje uzima se:</w:t>
      </w:r>
    </w:p>
    <w:p w14:paraId="2F04D222">
      <w:pPr>
        <w:pBdr>
          <w:top w:val="single" w:color="auto" w:sz="4" w:space="1"/>
          <w:left w:val="single" w:color="auto" w:sz="4" w:space="4"/>
          <w:bottom w:val="single" w:color="auto" w:sz="4" w:space="1"/>
          <w:right w:val="single" w:color="auto" w:sz="4" w:space="4"/>
        </w:pBdr>
        <w:jc w:val="both"/>
        <w:rPr>
          <w:rFonts w:hint="default" w:ascii="Arial" w:hAnsi="Arial" w:cs="Arial"/>
          <w:i/>
          <w:color w:val="000000"/>
          <w:lang w:val="sr-Latn-ME"/>
        </w:rPr>
      </w:pPr>
      <w:r>
        <w:rPr>
          <w:rFonts w:ascii="Arial" w:hAnsi="Arial" w:cs="Arial"/>
          <w:color w:val="000000"/>
        </w:rPr>
        <w:sym w:font="Wingdings" w:char="F078"/>
      </w:r>
      <w:r>
        <w:rPr>
          <w:rFonts w:ascii="Arial" w:hAnsi="Arial" w:cs="Arial"/>
          <w:color w:val="000000"/>
          <w:lang w:val="fr-FR"/>
        </w:rPr>
        <w:t xml:space="preserve"> </w:t>
      </w:r>
      <w:r>
        <w:rPr>
          <w:rFonts w:ascii="Arial" w:hAnsi="Arial" w:cs="Arial"/>
          <w:i/>
          <w:color w:val="000000"/>
          <w:lang w:val="fr-FR"/>
        </w:rPr>
        <w:t xml:space="preserve">rok </w:t>
      </w:r>
      <w:r>
        <w:rPr>
          <w:rFonts w:hint="default" w:ascii="Arial" w:hAnsi="Arial" w:cs="Arial"/>
          <w:i/>
          <w:color w:val="000000"/>
          <w:lang w:val="sr-Latn-ME"/>
        </w:rPr>
        <w:t xml:space="preserve">izvršenja pojedinačne usluge  </w:t>
      </w:r>
    </w:p>
    <w:p w14:paraId="3DDC8511">
      <w:pPr>
        <w:pBdr>
          <w:top w:val="single" w:color="auto" w:sz="4" w:space="1"/>
          <w:left w:val="single" w:color="auto" w:sz="4" w:space="4"/>
          <w:bottom w:val="single" w:color="auto" w:sz="4" w:space="1"/>
          <w:right w:val="single" w:color="auto" w:sz="4" w:space="4"/>
        </w:pBd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Ponuđač sa najkraćim ponuđenim rokom izvršenja pojedinačne usluge dobija maksimalni broj bodova u skladu sa ovim parametrom, a drugi ponuđači dobijaju proporcionalno manji broj bodova po formuli: Broj bodova(K)= (najkraći ponuđeni rok</w:t>
      </w:r>
      <w:r>
        <w:rPr>
          <w:rFonts w:hint="default" w:ascii="Arial" w:hAnsi="Arial" w:eastAsia="sans-serif" w:cs="Arial"/>
          <w:i w:val="0"/>
          <w:iCs w:val="0"/>
          <w:caps w:val="0"/>
          <w:color w:val="auto"/>
          <w:spacing w:val="0"/>
          <w:sz w:val="24"/>
          <w:szCs w:val="24"/>
          <w:shd w:val="clear" w:color="auto" w:fill="auto"/>
          <w:lang w:val="sr-Latn-ME"/>
        </w:rPr>
        <w:t xml:space="preserve"> </w:t>
      </w:r>
      <w:r>
        <w:rPr>
          <w:rFonts w:hint="default" w:ascii="Arial" w:hAnsi="Arial" w:eastAsia="sans-serif" w:cs="Arial"/>
          <w:i w:val="0"/>
          <w:iCs w:val="0"/>
          <w:caps w:val="0"/>
          <w:color w:val="auto"/>
          <w:spacing w:val="0"/>
          <w:sz w:val="24"/>
          <w:szCs w:val="24"/>
          <w:shd w:val="clear" w:color="auto" w:fill="auto"/>
        </w:rPr>
        <w:t xml:space="preserve">izvršenja pojedinačne usluge/ ponuđeni rok izvršenja pojedinačne usluge)x10. </w:t>
      </w:r>
    </w:p>
    <w:p w14:paraId="3B1853E5">
      <w:pPr>
        <w:pBdr>
          <w:top w:val="single" w:color="auto" w:sz="4" w:space="1"/>
          <w:left w:val="single" w:color="auto" w:sz="4" w:space="4"/>
          <w:bottom w:val="single" w:color="auto" w:sz="4" w:space="1"/>
          <w:right w:val="single" w:color="auto" w:sz="4" w:space="4"/>
        </w:pBdr>
        <w:jc w:val="both"/>
        <w:rPr>
          <w:rFonts w:hint="default" w:ascii="Arial" w:hAnsi="Arial" w:cs="Arial"/>
          <w:i/>
          <w:color w:val="000000"/>
          <w:lang w:val="sr-Latn-ME"/>
        </w:rPr>
      </w:pPr>
      <w:r>
        <w:rPr>
          <w:rFonts w:hint="default" w:ascii="Arial" w:hAnsi="Arial" w:eastAsia="sans-serif" w:cs="Arial"/>
          <w:i w:val="0"/>
          <w:iCs w:val="0"/>
          <w:caps w:val="0"/>
          <w:color w:val="auto"/>
          <w:spacing w:val="0"/>
          <w:sz w:val="24"/>
          <w:szCs w:val="24"/>
          <w:shd w:val="clear" w:color="auto" w:fill="auto"/>
        </w:rPr>
        <w:t xml:space="preserve">Napomena: Radi vrednovanja ponuda, ponuđač je dužan da se izjasni o konkretnom roku izvršenja pojedinačne usluge. Napomena: Najniži ponuđeni rok ne može biti kraći od </w:t>
      </w:r>
      <w:r>
        <w:rPr>
          <w:rFonts w:hint="default" w:ascii="Arial" w:hAnsi="Arial" w:eastAsia="sans-serif" w:cs="Arial"/>
          <w:i w:val="0"/>
          <w:iCs w:val="0"/>
          <w:caps w:val="0"/>
          <w:color w:val="auto"/>
          <w:spacing w:val="0"/>
          <w:sz w:val="24"/>
          <w:szCs w:val="24"/>
          <w:shd w:val="clear" w:color="auto" w:fill="auto"/>
          <w:lang w:val="sr-Latn-ME"/>
        </w:rPr>
        <w:t>48</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sr-Latn-ME"/>
        </w:rPr>
        <w:t>časova</w:t>
      </w:r>
      <w:r>
        <w:rPr>
          <w:rFonts w:hint="default" w:ascii="Arial" w:hAnsi="Arial" w:eastAsia="sans-serif" w:cs="Arial"/>
          <w:i w:val="0"/>
          <w:iCs w:val="0"/>
          <w:caps w:val="0"/>
          <w:color w:val="auto"/>
          <w:spacing w:val="0"/>
          <w:sz w:val="24"/>
          <w:szCs w:val="24"/>
          <w:shd w:val="clear" w:color="auto" w:fill="auto"/>
        </w:rPr>
        <w:t xml:space="preserve"> i duži od </w:t>
      </w:r>
      <w:r>
        <w:rPr>
          <w:rFonts w:hint="default" w:ascii="Arial" w:hAnsi="Arial" w:eastAsia="sans-serif" w:cs="Arial"/>
          <w:i w:val="0"/>
          <w:iCs w:val="0"/>
          <w:caps w:val="0"/>
          <w:color w:val="auto"/>
          <w:spacing w:val="0"/>
          <w:sz w:val="24"/>
          <w:szCs w:val="24"/>
          <w:shd w:val="clear" w:color="auto" w:fill="auto"/>
          <w:lang w:val="sr-Latn-ME"/>
        </w:rPr>
        <w:t>72</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sr-Latn-ME"/>
        </w:rPr>
        <w:t>časa</w:t>
      </w:r>
      <w:r>
        <w:rPr>
          <w:rFonts w:hint="default" w:ascii="Arial" w:hAnsi="Arial" w:eastAsia="sans-serif" w:cs="Arial"/>
          <w:i w:val="0"/>
          <w:iCs w:val="0"/>
          <w:caps w:val="0"/>
          <w:color w:val="auto"/>
          <w:spacing w:val="0"/>
          <w:sz w:val="24"/>
          <w:szCs w:val="24"/>
          <w:shd w:val="clear" w:color="auto" w:fill="auto"/>
        </w:rPr>
        <w:t xml:space="preserve"> od </w:t>
      </w:r>
      <w:r>
        <w:rPr>
          <w:rFonts w:hint="default" w:ascii="Arial" w:hAnsi="Arial" w:eastAsia="sans-serif" w:cs="Arial"/>
          <w:i w:val="0"/>
          <w:iCs w:val="0"/>
          <w:caps w:val="0"/>
          <w:color w:val="auto"/>
          <w:spacing w:val="0"/>
          <w:sz w:val="24"/>
          <w:szCs w:val="24"/>
          <w:shd w:val="clear" w:color="auto" w:fill="auto"/>
          <w:lang w:val="sr-Latn-ME"/>
        </w:rPr>
        <w:t>prijema sredstva u rad, što se dokazuje otvaranjem radnog naloga</w:t>
      </w:r>
      <w:r>
        <w:rPr>
          <w:rFonts w:hint="default" w:ascii="Arial" w:hAnsi="Arial" w:eastAsia="sans-serif" w:cs="Arial"/>
          <w:i w:val="0"/>
          <w:iCs w:val="0"/>
          <w:caps w:val="0"/>
          <w:color w:val="auto"/>
          <w:spacing w:val="0"/>
          <w:sz w:val="24"/>
          <w:szCs w:val="24"/>
          <w:shd w:val="clear" w:color="auto" w:fill="auto"/>
        </w:rPr>
        <w:t>. Rok izvršenja pojedinačne usluge</w:t>
      </w:r>
      <w:r>
        <w:rPr>
          <w:rFonts w:hint="default" w:ascii="Arial" w:hAnsi="Arial" w:eastAsia="sans-serif" w:cs="Arial"/>
          <w:i w:val="0"/>
          <w:iCs w:val="0"/>
          <w:caps w:val="0"/>
          <w:color w:val="auto"/>
          <w:spacing w:val="0"/>
          <w:sz w:val="24"/>
          <w:szCs w:val="24"/>
          <w:shd w:val="clear" w:color="auto" w:fill="auto"/>
          <w:lang w:val="en-US"/>
        </w:rPr>
        <w:t xml:space="preserve"> </w:t>
      </w:r>
      <w:r>
        <w:rPr>
          <w:rFonts w:hint="default" w:ascii="Arial" w:hAnsi="Arial" w:eastAsia="sans-serif" w:cs="Arial"/>
          <w:i w:val="0"/>
          <w:iCs w:val="0"/>
          <w:caps w:val="0"/>
          <w:color w:val="auto"/>
          <w:spacing w:val="0"/>
          <w:sz w:val="24"/>
          <w:szCs w:val="24"/>
          <w:shd w:val="clear" w:color="auto" w:fill="auto"/>
        </w:rPr>
        <w:t>iskazuje se u satima.</w:t>
      </w:r>
    </w:p>
    <w:p w14:paraId="5FEFBE7A">
      <w:pPr>
        <w:jc w:val="both"/>
        <w:rPr>
          <w:rFonts w:ascii="Arial" w:hAnsi="Arial" w:cs="Arial"/>
          <w:color w:val="000000"/>
        </w:rPr>
      </w:pPr>
    </w:p>
    <w:p w14:paraId="2FFDE2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14:paraId="08B831DB">
      <w:pPr>
        <w:jc w:val="both"/>
        <w:rPr>
          <w:rFonts w:ascii="Arial" w:hAnsi="Arial" w:cs="Arial"/>
          <w:b/>
          <w:bCs/>
          <w:color w:val="000000"/>
        </w:rPr>
      </w:pPr>
    </w:p>
    <w:p w14:paraId="3C782371">
      <w:pPr>
        <w:jc w:val="both"/>
        <w:rPr>
          <w:rFonts w:ascii="Arial" w:hAnsi="Arial" w:cs="Arial"/>
          <w:color w:val="000000"/>
        </w:rPr>
      </w:pPr>
      <w:r>
        <w:rPr>
          <w:rFonts w:ascii="Arial" w:hAnsi="Arial" w:cs="Arial"/>
          <w:color w:val="000000"/>
        </w:rPr>
        <w:t>Ponuda se sačinjava na:</w:t>
      </w:r>
    </w:p>
    <w:p w14:paraId="76ACB4D7">
      <w:pPr>
        <w:jc w:val="both"/>
        <w:rPr>
          <w:rFonts w:ascii="Arial" w:hAnsi="Arial" w:cs="Arial"/>
          <w:b/>
          <w:bCs/>
          <w:color w:val="000000"/>
        </w:rPr>
      </w:pPr>
    </w:p>
    <w:p w14:paraId="50938109">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14:paraId="5B604F08">
      <w:pPr>
        <w:jc w:val="both"/>
        <w:rPr>
          <w:rFonts w:ascii="Arial" w:hAnsi="Arial" w:cs="Arial"/>
          <w:color w:val="000000"/>
        </w:rPr>
      </w:pPr>
    </w:p>
    <w:p w14:paraId="6EF93C61">
      <w:pPr>
        <w:jc w:val="both"/>
        <w:rPr>
          <w:rFonts w:ascii="Arial" w:hAnsi="Arial" w:cs="Arial"/>
          <w:lang w:val="sr-Latn-ME"/>
        </w:rPr>
      </w:pPr>
      <w:r>
        <w:rPr>
          <w:rFonts w:ascii="Arial" w:hAnsi="Arial" w:cs="Arial"/>
          <w:color w:val="000000"/>
        </w:rPr>
        <w:sym w:font="Wingdings" w:char="F0A8"/>
      </w:r>
      <w:r>
        <w:rPr>
          <w:rFonts w:ascii="Arial" w:hAnsi="Arial" w:cs="Arial"/>
          <w:color w:val="000000"/>
          <w:lang w:val="sr-Latn-ME"/>
        </w:rPr>
        <w:t xml:space="preserve"> </w:t>
      </w:r>
      <w:r>
        <w:rPr>
          <w:rFonts w:ascii="Arial" w:hAnsi="Arial" w:cs="Arial"/>
          <w:color w:val="000000"/>
        </w:rPr>
        <w:t>crnogorski jezik</w:t>
      </w:r>
      <w:r>
        <w:rPr>
          <w:rFonts w:ascii="Arial" w:hAnsi="Arial" w:cs="Arial"/>
          <w:color w:val="000000"/>
          <w:lang w:val="sr-Latn-ME"/>
        </w:rPr>
        <w:t xml:space="preserve"> za ponudu u cjelini.</w:t>
      </w:r>
    </w:p>
    <w:p w14:paraId="2652226E">
      <w:pPr>
        <w:jc w:val="both"/>
        <w:rPr>
          <w:rFonts w:ascii="Arial" w:hAnsi="Arial" w:cs="Arial"/>
        </w:rPr>
      </w:pPr>
    </w:p>
    <w:p w14:paraId="14B1ABF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14:paraId="12AF1CF8">
      <w:pPr>
        <w:jc w:val="both"/>
        <w:rPr>
          <w:rFonts w:ascii="Arial" w:hAnsi="Arial" w:cs="Arial"/>
          <w:b/>
          <w:bCs/>
          <w:color w:val="000000"/>
        </w:rPr>
      </w:pPr>
    </w:p>
    <w:p w14:paraId="743830C5">
      <w:pPr>
        <w:jc w:val="both"/>
        <w:rPr>
          <w:rFonts w:ascii="Arial" w:hAnsi="Arial" w:cs="Arial"/>
          <w:color w:val="000000"/>
        </w:rPr>
      </w:pPr>
      <w:r>
        <w:rPr>
          <w:rFonts w:ascii="Arial" w:hAnsi="Arial" w:cs="Arial"/>
          <w:b/>
          <w:color w:val="000000"/>
        </w:rPr>
        <w:t xml:space="preserve">Ponude se podnose preko ESJN-a zaključno sa danom </w:t>
      </w:r>
      <w:r>
        <w:rPr>
          <w:rFonts w:hint="default" w:ascii="Arial" w:hAnsi="Arial" w:cs="Arial"/>
          <w:b/>
          <w:color w:val="000000"/>
          <w:lang w:val="en-US"/>
        </w:rPr>
        <w:t>08.10</w:t>
      </w:r>
      <w:r>
        <w:rPr>
          <w:rFonts w:ascii="Arial" w:hAnsi="Arial" w:cs="Arial"/>
          <w:b/>
          <w:color w:val="000000"/>
        </w:rPr>
        <w:t>.202</w:t>
      </w:r>
      <w:r>
        <w:rPr>
          <w:rFonts w:ascii="Arial" w:hAnsi="Arial" w:cs="Arial"/>
          <w:b/>
          <w:color w:val="000000"/>
          <w:lang w:val="sr-Latn-ME"/>
        </w:rPr>
        <w:t>4</w:t>
      </w:r>
      <w:r>
        <w:rPr>
          <w:rFonts w:ascii="Arial" w:hAnsi="Arial" w:cs="Arial"/>
          <w:b/>
          <w:color w:val="000000"/>
        </w:rPr>
        <w:t>. godine do 1</w:t>
      </w:r>
      <w:r>
        <w:rPr>
          <w:rFonts w:hint="default" w:ascii="Arial" w:hAnsi="Arial" w:cs="Arial"/>
          <w:b/>
          <w:color w:val="000000"/>
          <w:lang w:val="sr-Latn-ME"/>
        </w:rPr>
        <w:t>0</w:t>
      </w:r>
      <w:r>
        <w:rPr>
          <w:rFonts w:ascii="Arial" w:hAnsi="Arial" w:cs="Arial"/>
          <w:b/>
          <w:color w:val="000000"/>
        </w:rPr>
        <w:t>:00 sati</w:t>
      </w:r>
      <w:r>
        <w:rPr>
          <w:rFonts w:ascii="Arial" w:hAnsi="Arial" w:cs="Arial"/>
          <w:color w:val="000000"/>
        </w:rPr>
        <w:t xml:space="preserve">. </w:t>
      </w:r>
    </w:p>
    <w:p w14:paraId="2AB3FE2A">
      <w:pPr>
        <w:jc w:val="both"/>
        <w:rPr>
          <w:rFonts w:ascii="Arial" w:hAnsi="Arial" w:cs="Arial"/>
          <w:color w:val="000000"/>
        </w:rPr>
      </w:pPr>
    </w:p>
    <w:p w14:paraId="562A555E">
      <w:pPr>
        <w:jc w:val="both"/>
        <w:rPr>
          <w:rFonts w:ascii="Arial" w:hAnsi="Arial" w:cs="Arial"/>
          <w:color w:val="000000"/>
        </w:rPr>
      </w:pPr>
      <w:r>
        <w:rPr>
          <w:rFonts w:ascii="Arial" w:hAnsi="Arial" w:cs="Arial"/>
          <w:color w:val="000000"/>
        </w:rPr>
        <w:t>Otvaranje ponuda održaće se dana</w:t>
      </w:r>
      <w:r>
        <w:rPr>
          <w:rFonts w:hint="default" w:ascii="Arial" w:hAnsi="Arial" w:cs="Arial"/>
          <w:color w:val="000000"/>
          <w:lang w:val="en-US"/>
        </w:rPr>
        <w:t xml:space="preserve"> 08.10</w:t>
      </w:r>
      <w:r>
        <w:rPr>
          <w:rFonts w:ascii="Arial" w:hAnsi="Arial" w:cs="Arial"/>
          <w:color w:val="000000"/>
          <w:lang w:val="sr-Latn-ME"/>
        </w:rPr>
        <w:t>.2024</w:t>
      </w:r>
      <w:r>
        <w:rPr>
          <w:rFonts w:ascii="Arial" w:hAnsi="Arial" w:cs="Arial"/>
          <w:color w:val="000000"/>
        </w:rPr>
        <w:t>. godine u 1</w:t>
      </w:r>
      <w:r>
        <w:rPr>
          <w:rFonts w:hint="default" w:ascii="Arial" w:hAnsi="Arial" w:cs="Arial"/>
          <w:color w:val="000000"/>
          <w:lang w:val="sr-Latn-ME"/>
        </w:rPr>
        <w:t>0</w:t>
      </w:r>
      <w:r>
        <w:rPr>
          <w:rFonts w:ascii="Arial" w:hAnsi="Arial" w:cs="Arial"/>
          <w:color w:val="000000"/>
        </w:rPr>
        <w:t>:</w:t>
      </w:r>
      <w:r>
        <w:rPr>
          <w:rFonts w:ascii="Arial" w:hAnsi="Arial" w:cs="Arial"/>
          <w:color w:val="000000"/>
          <w:lang w:val="sr-Latn-ME"/>
        </w:rPr>
        <w:t>30</w:t>
      </w:r>
      <w:r>
        <w:rPr>
          <w:rFonts w:ascii="Arial" w:hAnsi="Arial" w:cs="Arial"/>
          <w:color w:val="000000"/>
        </w:rPr>
        <w:t xml:space="preserve"> sati.</w:t>
      </w:r>
    </w:p>
    <w:p w14:paraId="3119D542">
      <w:pPr>
        <w:pStyle w:val="7"/>
        <w:shd w:val="clear" w:color="auto" w:fill="FFFFFF"/>
        <w:jc w:val="both"/>
      </w:pPr>
      <w:r>
        <w:rPr>
          <w:rFonts w:ascii="Arial" w:hAnsi="Arial" w:cs="Arial"/>
          <w:shd w:val="clear" w:color="auto" w:fill="FFFFFF"/>
        </w:rPr>
        <w:t>Napomena: U skladu sa Zakonom o javnim nabavkama Izjava privrednog subjekta i garancija ponude podnose se u elektronskom obliku putem ESJN.</w:t>
      </w:r>
    </w:p>
    <w:p w14:paraId="47172436">
      <w:pPr>
        <w:pStyle w:val="7"/>
        <w:shd w:val="clear" w:color="auto" w:fill="FFFFFF"/>
        <w:jc w:val="both"/>
        <w:rPr>
          <w:rFonts w:ascii="Arial" w:hAnsi="Arial" w:cs="Arial"/>
          <w:i/>
          <w:iCs/>
          <w:color w:val="000000"/>
        </w:rPr>
      </w:pPr>
      <w:r>
        <w:rPr>
          <w:rFonts w:ascii="Arial" w:hAnsi="Arial" w:cs="Arial"/>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DD50049">
      <w:pPr>
        <w:jc w:val="both"/>
        <w:rPr>
          <w:rFonts w:ascii="Arial" w:hAnsi="Arial" w:cs="Arial"/>
          <w:color w:val="000000"/>
        </w:rPr>
      </w:pPr>
    </w:p>
    <w:p w14:paraId="4F78D419">
      <w:pPr>
        <w:pStyle w:val="10"/>
        <w:numPr>
          <w:ilvl w:val="0"/>
          <w:numId w:val="7"/>
        </w:numPr>
        <w:rPr>
          <w:rFonts w:ascii="Arial" w:hAnsi="Arial" w:eastAsia="Calibri" w:cs="Arial"/>
          <w:color w:val="000000"/>
        </w:rPr>
      </w:pPr>
      <w:r>
        <w:rPr>
          <w:rFonts w:ascii="Arial" w:hAnsi="Arial" w:eastAsia="Calibri" w:cs="Arial"/>
          <w:color w:val="000000"/>
        </w:rPr>
        <w:t>neposrednom podnošenjem na arhivi naručioca na adresi Zabjelo, Zetskih Vladara 1/14  Lamela A (Južna kapija grada).</w:t>
      </w:r>
    </w:p>
    <w:p w14:paraId="696DAC47">
      <w:pPr>
        <w:spacing w:before="96"/>
        <w:ind w:left="360"/>
        <w:jc w:val="both"/>
        <w:rPr>
          <w:rFonts w:ascii="Arial" w:hAnsi="Arial" w:eastAsia="Calibri" w:cs="Arial"/>
          <w:color w:val="000000"/>
        </w:rPr>
      </w:pPr>
    </w:p>
    <w:p w14:paraId="2F7720E5">
      <w:pPr>
        <w:pStyle w:val="10"/>
        <w:numPr>
          <w:ilvl w:val="0"/>
          <w:numId w:val="7"/>
        </w:numPr>
        <w:rPr>
          <w:rFonts w:ascii="Arial" w:hAnsi="Arial" w:eastAsia="Calibri" w:cs="Arial"/>
          <w:color w:val="000000"/>
        </w:rPr>
      </w:pPr>
      <w:r>
        <w:rPr>
          <w:rFonts w:ascii="Arial" w:hAnsi="Arial" w:eastAsia="Calibri" w:cs="Arial"/>
          <w:lang w:val="sr-Latn-ME"/>
        </w:rPr>
        <w:t xml:space="preserve"> </w:t>
      </w:r>
      <w:r>
        <w:rPr>
          <w:rFonts w:ascii="Arial" w:hAnsi="Arial" w:eastAsia="Calibri" w:cs="Arial"/>
          <w:color w:val="000000"/>
        </w:rPr>
        <w:t>preporučenom pošiljkom sa povratnicom na adresi Zabjelo, Zetskih Vladara 1/14  Lamela A (Južna kapija grada).</w:t>
      </w:r>
    </w:p>
    <w:p w14:paraId="0835C9C3">
      <w:pPr>
        <w:spacing w:before="96"/>
        <w:ind w:left="720"/>
        <w:jc w:val="both"/>
        <w:rPr>
          <w:rFonts w:ascii="Arial" w:hAnsi="Arial" w:cs="Arial"/>
          <w:color w:val="000000"/>
          <w:highlight w:val="yellow"/>
        </w:rPr>
      </w:pPr>
    </w:p>
    <w:p w14:paraId="5F4A474F">
      <w:pPr>
        <w:jc w:val="both"/>
        <w:rPr>
          <w:rFonts w:hint="default" w:ascii="Arial" w:hAnsi="Arial" w:cs="Arial"/>
          <w:color w:val="000000"/>
          <w:lang w:val="sr-Latn-ME"/>
        </w:rPr>
      </w:pPr>
      <w:r>
        <w:rPr>
          <w:rFonts w:ascii="Arial" w:hAnsi="Arial" w:cs="Arial"/>
          <w:color w:val="000000"/>
        </w:rPr>
        <w:t>radnim danima od 8:00 do 1</w:t>
      </w:r>
      <w:r>
        <w:rPr>
          <w:rFonts w:ascii="Arial" w:hAnsi="Arial" w:cs="Arial"/>
          <w:color w:val="000000"/>
          <w:lang w:val="sr-Latn-ME"/>
        </w:rPr>
        <w:t>6</w:t>
      </w:r>
      <w:r>
        <w:rPr>
          <w:rFonts w:ascii="Arial" w:hAnsi="Arial" w:cs="Arial"/>
          <w:color w:val="000000"/>
        </w:rPr>
        <w:t xml:space="preserve">:00 sati, zaključno sa danom </w:t>
      </w:r>
      <w:r>
        <w:rPr>
          <w:rFonts w:hint="default" w:ascii="Arial" w:hAnsi="Arial" w:cs="Arial"/>
          <w:color w:val="000000"/>
          <w:lang w:val="en-US"/>
        </w:rPr>
        <w:t>08.10</w:t>
      </w:r>
      <w:r>
        <w:rPr>
          <w:rFonts w:ascii="Arial" w:hAnsi="Arial" w:cs="Arial"/>
          <w:color w:val="000000"/>
          <w:lang w:val="sr-Latn-ME"/>
        </w:rPr>
        <w:t>.2024</w:t>
      </w:r>
      <w:r>
        <w:rPr>
          <w:rFonts w:ascii="Arial" w:hAnsi="Arial" w:cs="Arial"/>
          <w:color w:val="000000"/>
        </w:rPr>
        <w:t>. godine do 1</w:t>
      </w:r>
      <w:r>
        <w:rPr>
          <w:rFonts w:hint="default" w:ascii="Arial" w:hAnsi="Arial" w:cs="Arial"/>
          <w:color w:val="000000"/>
          <w:lang w:val="sr-Latn-ME"/>
        </w:rPr>
        <w:t>0</w:t>
      </w:r>
      <w:r>
        <w:rPr>
          <w:rFonts w:ascii="Arial" w:hAnsi="Arial" w:cs="Arial"/>
          <w:color w:val="000000"/>
        </w:rPr>
        <w:t xml:space="preserve">:00 </w:t>
      </w:r>
      <w:r>
        <w:rPr>
          <w:rFonts w:hint="default" w:ascii="Arial" w:hAnsi="Arial" w:cs="Arial"/>
          <w:color w:val="000000"/>
          <w:lang w:val="sr-Latn-ME"/>
        </w:rPr>
        <w:t>sati.</w:t>
      </w:r>
    </w:p>
    <w:p w14:paraId="2C9886DA">
      <w:pPr>
        <w:jc w:val="both"/>
        <w:rPr>
          <w:rFonts w:ascii="Arial" w:hAnsi="Arial" w:cs="Arial"/>
          <w:color w:val="000000"/>
          <w:lang w:val="sr-Latn-ME"/>
        </w:rPr>
      </w:pPr>
    </w:p>
    <w:p w14:paraId="26B77B7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9" w:name="_Toc62730562"/>
      <w:r>
        <w:rPr>
          <w:rFonts w:ascii="Arial" w:hAnsi="Arial" w:cs="Arial"/>
          <w:b/>
        </w:rPr>
        <w:t>USLOVI ZA AKTIVIRANJE GARANCIJE PONUDE</w:t>
      </w:r>
      <w:r>
        <w:rPr>
          <w:rFonts w:ascii="Arial" w:hAnsi="Arial" w:cs="Arial"/>
          <w:b/>
          <w:vertAlign w:val="superscript"/>
        </w:rPr>
        <w:footnoteReference w:id="7"/>
      </w:r>
      <w:bookmarkEnd w:id="9"/>
    </w:p>
    <w:p w14:paraId="37908188">
      <w:pPr>
        <w:jc w:val="both"/>
        <w:rPr>
          <w:rFonts w:ascii="Arial" w:hAnsi="Arial" w:cs="Arial"/>
          <w:b/>
          <w:bCs/>
          <w:color w:val="000000"/>
        </w:rPr>
      </w:pPr>
    </w:p>
    <w:p w14:paraId="2EE010F1">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6AEAC3F7">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7332B742">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28F8D9D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0"/>
    </w:p>
    <w:p w14:paraId="5B230221">
      <w:pPr>
        <w:jc w:val="both"/>
        <w:rPr>
          <w:rFonts w:ascii="Arial" w:hAnsi="Arial" w:cs="Arial"/>
          <w:color w:val="000000"/>
        </w:rPr>
      </w:pPr>
      <w:r>
        <w:rPr>
          <w:rFonts w:ascii="Arial" w:hAnsi="Arial" w:cs="Arial"/>
          <w:color w:val="000000"/>
        </w:rPr>
        <w:t xml:space="preserve"> </w:t>
      </w:r>
    </w:p>
    <w:p w14:paraId="4F20F070">
      <w:pPr>
        <w:jc w:val="both"/>
        <w:rPr>
          <w:rFonts w:ascii="Arial" w:hAnsi="Arial" w:cs="Arial"/>
          <w:color w:val="000000"/>
        </w:rPr>
      </w:pPr>
      <w:r>
        <w:rPr>
          <w:rFonts w:ascii="Arial" w:hAnsi="Arial" w:cs="Arial"/>
          <w:color w:val="000000"/>
        </w:rPr>
        <w:t>Tenderska dokumentacija sadrži tajne podatke</w:t>
      </w:r>
    </w:p>
    <w:p w14:paraId="406C365C">
      <w:pPr>
        <w:jc w:val="both"/>
        <w:rPr>
          <w:rFonts w:ascii="Arial" w:hAnsi="Arial" w:cs="Arial"/>
          <w:color w:val="000000"/>
        </w:rPr>
      </w:pPr>
    </w:p>
    <w:p w14:paraId="53571253">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52207E2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1" w:name="_Toc62730564"/>
      <w:r>
        <w:rPr>
          <w:rFonts w:ascii="Arial" w:hAnsi="Arial" w:cs="Arial"/>
          <w:b/>
        </w:rPr>
        <w:t>UPUTSTVO ZA SAČINJAVANJE PONUDE</w:t>
      </w:r>
      <w:bookmarkEnd w:id="11"/>
    </w:p>
    <w:p w14:paraId="6E9115FE">
      <w:pPr>
        <w:rPr>
          <w:rFonts w:ascii="Arial" w:hAnsi="Arial" w:cs="Arial"/>
        </w:rPr>
      </w:pPr>
    </w:p>
    <w:p w14:paraId="31B1CE98">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14:paraId="6FF98013">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14:paraId="3E62ECA3">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14:paraId="2BFD2233">
      <w:pPr>
        <w:jc w:val="both"/>
        <w:rPr>
          <w:rFonts w:ascii="Arial" w:hAnsi="Arial" w:cs="Arial"/>
          <w:b/>
          <w:bCs/>
          <w:color w:val="000000"/>
        </w:rPr>
      </w:pPr>
    </w:p>
    <w:p w14:paraId="66E13F2B">
      <w:pPr>
        <w:rPr>
          <w:rFonts w:ascii="Arial" w:hAnsi="Arial" w:cs="Arial"/>
          <w:b/>
          <w:bCs/>
          <w:color w:val="000000"/>
        </w:rPr>
      </w:pPr>
      <w:r>
        <w:rPr>
          <w:rFonts w:ascii="Arial" w:hAnsi="Arial" w:cs="Arial"/>
          <w:b/>
          <w:bCs/>
          <w:color w:val="000000"/>
        </w:rPr>
        <w:br w:type="page"/>
      </w:r>
    </w:p>
    <w:p w14:paraId="35B81555">
      <w:pPr>
        <w:jc w:val="both"/>
        <w:rPr>
          <w:rFonts w:ascii="Arial" w:hAnsi="Arial" w:cs="Arial"/>
          <w:b/>
          <w:bCs/>
          <w:color w:val="000000"/>
        </w:rPr>
      </w:pPr>
    </w:p>
    <w:p w14:paraId="0B18DC6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2" w:name="_Toc62730565"/>
      <w:r>
        <w:rPr>
          <w:rFonts w:ascii="Arial" w:hAnsi="Arial" w:cs="Arial"/>
          <w:b/>
        </w:rPr>
        <w:t>NAČIN ZAKLJUČIVANJA I IZMJENE UGOVORA O JAVNOJ NABAVCI</w:t>
      </w:r>
      <w:bookmarkEnd w:id="12"/>
    </w:p>
    <w:p w14:paraId="29C678A7">
      <w:pPr>
        <w:jc w:val="both"/>
        <w:rPr>
          <w:rFonts w:ascii="Arial" w:hAnsi="Arial" w:cs="Arial"/>
          <w:i/>
        </w:rPr>
      </w:pPr>
    </w:p>
    <w:p w14:paraId="2AAE1735">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1D377E11">
      <w:pPr>
        <w:jc w:val="both"/>
        <w:rPr>
          <w:rFonts w:ascii="Arial" w:hAnsi="Arial" w:cs="Arial"/>
        </w:rPr>
      </w:pPr>
    </w:p>
    <w:p w14:paraId="472ABA27">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78FE93D5">
      <w:pPr>
        <w:jc w:val="both"/>
        <w:rPr>
          <w:rFonts w:ascii="Arial" w:hAnsi="Arial" w:cs="Arial"/>
        </w:rPr>
      </w:pPr>
    </w:p>
    <w:p w14:paraId="6F4FD647">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p>
    <w:p w14:paraId="224395F2">
      <w:pPr>
        <w:jc w:val="both"/>
        <w:rPr>
          <w:rFonts w:ascii="Arial" w:hAnsi="Arial" w:cs="Arial"/>
          <w:color w:val="000000"/>
        </w:rPr>
      </w:pPr>
    </w:p>
    <w:p w14:paraId="6DA5B930">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449565C4">
      <w:pPr>
        <w:jc w:val="both"/>
        <w:rPr>
          <w:rFonts w:ascii="Arial" w:hAnsi="Arial" w:eastAsia="Calibri" w:cs="Arial"/>
        </w:rPr>
      </w:pPr>
      <w:r>
        <w:rPr>
          <w:rFonts w:ascii="Arial" w:hAnsi="Arial" w:eastAsia="Calibri" w:cs="Arial"/>
        </w:rPr>
        <w:t xml:space="preserve">-U slučaju kada Naručilac ustanovi da </w:t>
      </w:r>
      <w:r>
        <w:rPr>
          <w:rFonts w:hint="default" w:ascii="Arial" w:hAnsi="Arial" w:eastAsia="Calibri" w:cs="Arial"/>
          <w:lang w:val="sr-Latn-ME"/>
        </w:rPr>
        <w:t>usluge</w:t>
      </w:r>
      <w:r>
        <w:rPr>
          <w:rFonts w:ascii="Arial" w:hAnsi="Arial" w:eastAsia="Calibri" w:cs="Arial"/>
        </w:rPr>
        <w:t xml:space="preserve"> koj</w:t>
      </w:r>
      <w:r>
        <w:rPr>
          <w:rFonts w:hint="default" w:ascii="Arial" w:hAnsi="Arial" w:eastAsia="Calibri" w:cs="Arial"/>
          <w:lang w:val="sr-Latn-ME"/>
        </w:rPr>
        <w:t>e</w:t>
      </w:r>
      <w:r>
        <w:rPr>
          <w:rFonts w:ascii="Arial" w:hAnsi="Arial" w:eastAsia="Calibri" w:cs="Arial"/>
        </w:rPr>
        <w:t xml:space="preserve"> </w:t>
      </w:r>
      <w:r>
        <w:rPr>
          <w:rFonts w:hint="default" w:ascii="Arial" w:hAnsi="Arial" w:eastAsia="Calibri" w:cs="Arial"/>
          <w:lang w:val="sr-Latn-ME"/>
        </w:rPr>
        <w:t>su</w:t>
      </w:r>
      <w:r>
        <w:rPr>
          <w:rFonts w:ascii="Arial" w:hAnsi="Arial" w:eastAsia="Calibri" w:cs="Arial"/>
        </w:rPr>
        <w:t xml:space="preserve"> predmet ovog ugovora ili način i rokovi na koji se ist</w:t>
      </w:r>
      <w:r>
        <w:rPr>
          <w:rFonts w:hint="default" w:ascii="Arial" w:hAnsi="Arial" w:eastAsia="Calibri" w:cs="Arial"/>
          <w:lang w:val="sr-Latn-ME"/>
        </w:rPr>
        <w:t xml:space="preserve">e </w:t>
      </w:r>
      <w:r>
        <w:rPr>
          <w:rFonts w:ascii="Arial" w:hAnsi="Arial" w:eastAsia="Calibri" w:cs="Arial"/>
        </w:rPr>
        <w:t xml:space="preserve"> </w:t>
      </w:r>
      <w:r>
        <w:rPr>
          <w:rFonts w:hint="default" w:ascii="Arial" w:hAnsi="Arial" w:eastAsia="Calibri" w:cs="Arial"/>
          <w:lang w:val="sr-Latn-ME"/>
        </w:rPr>
        <w:t>izvršavaju</w:t>
      </w:r>
      <w:r>
        <w:rPr>
          <w:rFonts w:ascii="Arial" w:hAnsi="Arial" w:eastAsia="Calibri" w:cs="Arial"/>
        </w:rPr>
        <w:t xml:space="preserve">, odstupa od ponuđenog iz ponude Dobavljača. </w:t>
      </w:r>
    </w:p>
    <w:p w14:paraId="2452A29E">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14:paraId="5A61983F">
      <w:pPr>
        <w:jc w:val="both"/>
        <w:rPr>
          <w:rFonts w:ascii="Arial" w:hAnsi="Arial" w:eastAsia="Calibri" w:cs="Arial"/>
          <w:bCs/>
        </w:rPr>
      </w:pPr>
    </w:p>
    <w:p w14:paraId="63860A50">
      <w:pPr>
        <w:jc w:val="both"/>
        <w:rPr>
          <w:rFonts w:ascii="Arial" w:hAnsi="Arial" w:eastAsia="sans-serif" w:cs="Arial"/>
        </w:rPr>
      </w:pPr>
      <w:r>
        <w:rPr>
          <w:rFonts w:ascii="Arial" w:hAnsi="Arial" w:eastAsia="sans-serif" w:cs="Arial"/>
        </w:rPr>
        <w:t>Način sprovođenja kontrole kvaliteta:</w:t>
      </w:r>
    </w:p>
    <w:p w14:paraId="259DC5EE">
      <w:pPr>
        <w:jc w:val="both"/>
        <w:rPr>
          <w:rFonts w:ascii="Arial" w:hAnsi="Arial" w:eastAsia="sans-serif" w:cs="Arial"/>
        </w:rPr>
      </w:pPr>
      <w:r>
        <w:rPr>
          <w:rFonts w:ascii="Arial" w:hAnsi="Arial" w:eastAsia="sans-serif" w:cs="Arial"/>
        </w:rPr>
        <w:t>Naručilac će imenovati lic</w:t>
      </w:r>
      <w:r>
        <w:rPr>
          <w:rFonts w:hint="default" w:ascii="Arial" w:hAnsi="Arial" w:eastAsia="sans-serif" w:cs="Arial"/>
          <w:lang w:val="sr-Latn-ME"/>
        </w:rPr>
        <w:t>e</w:t>
      </w:r>
      <w:r>
        <w:rPr>
          <w:rFonts w:ascii="Arial" w:hAnsi="Arial" w:eastAsia="sans-serif" w:cs="Arial"/>
        </w:rPr>
        <w:t xml:space="preserve"> koj</w:t>
      </w:r>
      <w:r>
        <w:rPr>
          <w:rFonts w:hint="default" w:ascii="Arial" w:hAnsi="Arial" w:eastAsia="sans-serif" w:cs="Arial"/>
          <w:lang w:val="sr-Latn-ME"/>
        </w:rPr>
        <w:t>e</w:t>
      </w:r>
      <w:r>
        <w:rPr>
          <w:rFonts w:ascii="Arial" w:hAnsi="Arial" w:eastAsia="sans-serif" w:cs="Arial"/>
        </w:rPr>
        <w:t xml:space="preserve"> će</w:t>
      </w:r>
      <w:r>
        <w:rPr>
          <w:rFonts w:hint="default" w:ascii="Arial" w:hAnsi="Arial" w:eastAsia="sans-serif" w:cs="Arial"/>
          <w:lang w:val="sr-Latn-ME"/>
        </w:rPr>
        <w:t xml:space="preserve"> pratiti realizaciju predmetnog ugovora i koje će</w:t>
      </w:r>
      <w:r>
        <w:rPr>
          <w:rFonts w:ascii="Arial" w:hAnsi="Arial" w:eastAsia="sans-serif" w:cs="Arial"/>
        </w:rPr>
        <w:t xml:space="preserve"> izvršiti kontrolu da li i</w:t>
      </w:r>
      <w:r>
        <w:rPr>
          <w:rFonts w:hint="default" w:ascii="Arial" w:hAnsi="Arial" w:eastAsia="sans-serif" w:cs="Arial"/>
          <w:lang w:val="sr-Latn-ME"/>
        </w:rPr>
        <w:t>zvršene usluge</w:t>
      </w:r>
      <w:r>
        <w:rPr>
          <w:rFonts w:ascii="Arial" w:hAnsi="Arial" w:eastAsia="sans-serif" w:cs="Arial"/>
        </w:rPr>
        <w:t xml:space="preserve"> odgovara</w:t>
      </w:r>
      <w:r>
        <w:rPr>
          <w:rFonts w:hint="default" w:ascii="Arial" w:hAnsi="Arial" w:eastAsia="sans-serif" w:cs="Arial"/>
          <w:lang w:val="sr-Latn-ME"/>
        </w:rPr>
        <w:t>ju</w:t>
      </w:r>
      <w:r>
        <w:rPr>
          <w:rFonts w:ascii="Arial" w:hAnsi="Arial" w:eastAsia="sans-serif" w:cs="Arial"/>
        </w:rPr>
        <w:t xml:space="preserve"> opisu i bitnim karakteristikama koji su definisani Tenderskom dokumentacijom i Ponudom Dobavljača.</w:t>
      </w:r>
    </w:p>
    <w:p w14:paraId="6A7DBA66">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 xml:space="preserve">Ukoliko se zapisnički utvrdi da </w:t>
      </w:r>
      <w:r>
        <w:rPr>
          <w:rFonts w:hint="default" w:ascii="Arial" w:hAnsi="Arial" w:eastAsia="sans-serif" w:cs="Arial"/>
          <w:i w:val="0"/>
          <w:iCs w:val="0"/>
          <w:caps w:val="0"/>
          <w:color w:val="auto"/>
          <w:spacing w:val="0"/>
          <w:sz w:val="24"/>
          <w:szCs w:val="24"/>
          <w:shd w:val="clear" w:color="auto" w:fill="auto"/>
          <w:lang w:val="sr-Latn-ME"/>
        </w:rPr>
        <w:t>izvršene usluge</w:t>
      </w:r>
      <w:r>
        <w:rPr>
          <w:rFonts w:hint="default" w:ascii="Arial" w:hAnsi="Arial" w:eastAsia="sans-serif" w:cs="Arial"/>
          <w:i w:val="0"/>
          <w:iCs w:val="0"/>
          <w:caps w:val="0"/>
          <w:color w:val="auto"/>
          <w:spacing w:val="0"/>
          <w:sz w:val="24"/>
          <w:szCs w:val="24"/>
          <w:shd w:val="clear" w:color="auto" w:fill="auto"/>
        </w:rPr>
        <w:t xml:space="preserve"> posjeduj</w:t>
      </w:r>
      <w:r>
        <w:rPr>
          <w:rFonts w:hint="default" w:ascii="Arial" w:hAnsi="Arial" w:eastAsia="sans-serif" w:cs="Arial"/>
          <w:i w:val="0"/>
          <w:iCs w:val="0"/>
          <w:caps w:val="0"/>
          <w:color w:val="auto"/>
          <w:spacing w:val="0"/>
          <w:sz w:val="24"/>
          <w:szCs w:val="24"/>
          <w:shd w:val="clear" w:color="auto" w:fill="auto"/>
          <w:lang w:val="sr-Latn-ME"/>
        </w:rPr>
        <w:t>u</w:t>
      </w:r>
      <w:r>
        <w:rPr>
          <w:rFonts w:hint="default" w:ascii="Arial" w:hAnsi="Arial" w:eastAsia="sans-serif" w:cs="Arial"/>
          <w:i w:val="0"/>
          <w:iCs w:val="0"/>
          <w:caps w:val="0"/>
          <w:color w:val="auto"/>
          <w:spacing w:val="0"/>
          <w:sz w:val="24"/>
          <w:szCs w:val="24"/>
          <w:shd w:val="clear" w:color="auto" w:fill="auto"/>
        </w:rPr>
        <w:t xml:space="preserve"> nedostatke u</w:t>
      </w:r>
      <w:r>
        <w:rPr>
          <w:rFonts w:hint="default" w:ascii="Arial" w:hAnsi="Arial" w:eastAsia="sans-serif" w:cs="Arial"/>
          <w:i w:val="0"/>
          <w:iCs w:val="0"/>
          <w:caps w:val="0"/>
          <w:color w:val="auto"/>
          <w:spacing w:val="0"/>
          <w:sz w:val="24"/>
          <w:szCs w:val="24"/>
          <w:shd w:val="clear" w:color="auto" w:fill="auto"/>
          <w:lang w:val="sr-Latn-ME"/>
        </w:rPr>
        <w:t xml:space="preserve"> </w:t>
      </w:r>
      <w:r>
        <w:rPr>
          <w:rFonts w:hint="default" w:ascii="Arial" w:hAnsi="Arial" w:eastAsia="sans-serif" w:cs="Arial"/>
          <w:i w:val="0"/>
          <w:iCs w:val="0"/>
          <w:caps w:val="0"/>
          <w:color w:val="auto"/>
          <w:spacing w:val="0"/>
          <w:sz w:val="24"/>
          <w:szCs w:val="24"/>
          <w:shd w:val="clear" w:color="auto" w:fill="auto"/>
        </w:rPr>
        <w:t>kvalitetu, izabrani ponuđač je dužan da ist</w:t>
      </w:r>
      <w:r>
        <w:rPr>
          <w:rFonts w:hint="default" w:ascii="Arial" w:hAnsi="Arial" w:eastAsia="sans-serif" w:cs="Arial"/>
          <w:i w:val="0"/>
          <w:iCs w:val="0"/>
          <w:caps w:val="0"/>
          <w:color w:val="auto"/>
          <w:spacing w:val="0"/>
          <w:sz w:val="24"/>
          <w:szCs w:val="24"/>
          <w:shd w:val="clear" w:color="auto" w:fill="auto"/>
          <w:lang w:val="sr-Latn-ME"/>
        </w:rPr>
        <w:t>e o svom trošku</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sr-Latn-ME"/>
        </w:rPr>
        <w:t>otkloni</w:t>
      </w:r>
      <w:r>
        <w:rPr>
          <w:rFonts w:hint="default" w:ascii="Arial" w:hAnsi="Arial" w:eastAsia="sans-serif" w:cs="Arial"/>
          <w:i w:val="0"/>
          <w:iCs w:val="0"/>
          <w:caps w:val="0"/>
          <w:color w:val="auto"/>
          <w:spacing w:val="0"/>
          <w:sz w:val="24"/>
          <w:szCs w:val="24"/>
          <w:shd w:val="clear" w:color="auto" w:fill="auto"/>
        </w:rPr>
        <w:t xml:space="preserve">, u roku od </w:t>
      </w:r>
      <w:r>
        <w:rPr>
          <w:rFonts w:hint="default" w:ascii="Arial" w:hAnsi="Arial" w:eastAsia="sans-serif" w:cs="Arial"/>
          <w:i w:val="0"/>
          <w:iCs w:val="0"/>
          <w:caps w:val="0"/>
          <w:color w:val="auto"/>
          <w:spacing w:val="0"/>
          <w:sz w:val="24"/>
          <w:szCs w:val="24"/>
          <w:shd w:val="clear" w:color="auto" w:fill="auto"/>
          <w:lang w:val="sr-Latn-ME"/>
        </w:rPr>
        <w:t>48</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sr-Latn-ME"/>
        </w:rPr>
        <w:t>časova od prijema sredstva u rad i otvaranja radnog naloga</w:t>
      </w:r>
      <w:r>
        <w:rPr>
          <w:rFonts w:hint="default" w:ascii="Arial" w:hAnsi="Arial" w:eastAsia="sans-serif" w:cs="Arial"/>
          <w:i w:val="0"/>
          <w:iCs w:val="0"/>
          <w:caps w:val="0"/>
          <w:color w:val="auto"/>
          <w:spacing w:val="0"/>
          <w:sz w:val="24"/>
          <w:szCs w:val="24"/>
          <w:shd w:val="clear" w:color="auto" w:fill="auto"/>
        </w:rPr>
        <w:t xml:space="preserve">. Ukoliko  Dobavljač ne postupi u skladu sa traženim, Naručilac će </w:t>
      </w:r>
      <w:r>
        <w:rPr>
          <w:rFonts w:hint="default" w:ascii="Arial" w:hAnsi="Arial" w:eastAsia="sans-serif" w:cs="Arial"/>
          <w:i w:val="0"/>
          <w:iCs w:val="0"/>
          <w:caps w:val="0"/>
          <w:color w:val="auto"/>
          <w:spacing w:val="0"/>
          <w:sz w:val="24"/>
          <w:szCs w:val="24"/>
          <w:shd w:val="clear" w:color="auto" w:fill="auto"/>
          <w:lang w:val="sr-Latn-ME"/>
        </w:rPr>
        <w:t xml:space="preserve">jednostrano </w:t>
      </w:r>
      <w:r>
        <w:rPr>
          <w:rFonts w:hint="default" w:ascii="Arial" w:hAnsi="Arial" w:eastAsia="sans-serif" w:cs="Arial"/>
          <w:i w:val="0"/>
          <w:iCs w:val="0"/>
          <w:caps w:val="0"/>
          <w:color w:val="auto"/>
          <w:spacing w:val="0"/>
          <w:sz w:val="24"/>
          <w:szCs w:val="24"/>
          <w:shd w:val="clear" w:color="auto" w:fill="auto"/>
        </w:rPr>
        <w:t>raskinuti Ugovor o javnoj nabavci i aktivirati Garanciju za dobro izvršenje ugovora.</w:t>
      </w:r>
      <w:bookmarkStart w:id="18" w:name="_GoBack"/>
      <w:bookmarkEnd w:id="18"/>
    </w:p>
    <w:p w14:paraId="2853DAA1">
      <w:pPr>
        <w:jc w:val="both"/>
        <w:rPr>
          <w:rFonts w:hint="default" w:ascii="Arial" w:hAnsi="Arial" w:eastAsia="sans-serif" w:cs="Arial"/>
          <w:i w:val="0"/>
          <w:iCs w:val="0"/>
          <w:caps w:val="0"/>
          <w:color w:val="auto"/>
          <w:spacing w:val="0"/>
          <w:sz w:val="24"/>
          <w:szCs w:val="24"/>
          <w:shd w:val="clear" w:color="auto" w:fill="auto"/>
        </w:rPr>
      </w:pPr>
    </w:p>
    <w:p w14:paraId="473C0DA1">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Način i dinamika isporuke/izvršenja: Sukcesivn</w:t>
      </w:r>
      <w:r>
        <w:rPr>
          <w:rFonts w:hint="default" w:ascii="Arial" w:hAnsi="Arial" w:eastAsia="sans-serif" w:cs="Arial"/>
          <w:i w:val="0"/>
          <w:iCs w:val="0"/>
          <w:caps w:val="0"/>
          <w:color w:val="auto"/>
          <w:spacing w:val="0"/>
          <w:sz w:val="24"/>
          <w:szCs w:val="24"/>
          <w:shd w:val="clear" w:color="auto" w:fill="auto"/>
          <w:lang w:val="sr-Latn-ME"/>
        </w:rPr>
        <w:t>o izvršavanje usluga,</w:t>
      </w:r>
      <w:r>
        <w:rPr>
          <w:rFonts w:hint="default" w:ascii="Arial" w:hAnsi="Arial" w:eastAsia="sans-serif" w:cs="Arial"/>
          <w:i w:val="0"/>
          <w:iCs w:val="0"/>
          <w:caps w:val="0"/>
          <w:color w:val="auto"/>
          <w:spacing w:val="0"/>
          <w:sz w:val="24"/>
          <w:szCs w:val="24"/>
          <w:shd w:val="clear" w:color="auto" w:fill="auto"/>
        </w:rPr>
        <w:t xml:space="preserve"> prema potrebama naručioca.</w:t>
      </w:r>
    </w:p>
    <w:p w14:paraId="64828ECC">
      <w:pPr>
        <w:jc w:val="both"/>
        <w:rPr>
          <w:rFonts w:hint="default" w:ascii="Arial" w:hAnsi="Arial" w:eastAsia="sans-serif" w:cs="Arial"/>
          <w:i w:val="0"/>
          <w:iCs w:val="0"/>
          <w:caps w:val="0"/>
          <w:color w:val="auto"/>
          <w:spacing w:val="0"/>
          <w:sz w:val="24"/>
          <w:szCs w:val="24"/>
          <w:shd w:val="clear" w:fill="F6F5F4"/>
        </w:rPr>
      </w:pPr>
    </w:p>
    <w:p w14:paraId="54BA8309">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Ugovor o javnoj nabavci tokom njegovog trajanja može da se izmijeni bez sprovođenja novog postupka javne nabavke u skladu sa članom 151 Zakona o javnim nabavkama: </w:t>
      </w:r>
    </w:p>
    <w:p w14:paraId="65B74A89">
      <w:pPr>
        <w:jc w:val="both"/>
        <w:rPr>
          <w:rFonts w:ascii="Arial" w:hAnsi="Arial" w:cs="Arial"/>
          <w:color w:val="000000"/>
        </w:rPr>
      </w:pPr>
    </w:p>
    <w:p w14:paraId="7BA34C52">
      <w:pPr>
        <w:numPr>
          <w:ilvl w:val="0"/>
          <w:numId w:val="8"/>
        </w:numPr>
        <w:jc w:val="both"/>
        <w:rPr>
          <w:rFonts w:ascii="Arial" w:hAnsi="Arial" w:cs="Arial"/>
          <w:color w:val="000000"/>
          <w:lang w:val="sr-Latn-ME"/>
        </w:rPr>
      </w:pPr>
      <w:r>
        <w:rPr>
          <w:rFonts w:ascii="Arial" w:hAnsi="Arial" w:cs="Arial"/>
          <w:color w:val="000000"/>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7FD861BB">
      <w:pPr>
        <w:jc w:val="both"/>
        <w:rPr>
          <w:rFonts w:ascii="Arial" w:hAnsi="Arial" w:cs="Arial"/>
          <w:color w:val="000000"/>
        </w:rPr>
      </w:pPr>
    </w:p>
    <w:p w14:paraId="63C80A99">
      <w:pPr>
        <w:autoSpaceDE w:val="0"/>
        <w:autoSpaceDN w:val="0"/>
        <w:adjustRightInd w:val="0"/>
        <w:jc w:val="both"/>
        <w:rPr>
          <w:rFonts w:ascii="Arial" w:hAnsi="Arial" w:cs="Arial" w:eastAsiaTheme="minorHAnsi"/>
        </w:rPr>
      </w:pPr>
      <w:r>
        <w:rPr>
          <w:rFonts w:ascii="Arial" w:hAnsi="Arial" w:cs="Arial" w:eastAsiaTheme="minorHAnsi"/>
          <w:lang w:val="sr-Latn-ME"/>
        </w:rPr>
        <w:t>2</w:t>
      </w:r>
      <w:r>
        <w:rPr>
          <w:rFonts w:ascii="Arial" w:hAnsi="Arial" w:cs="Arial" w:eastAsiaTheme="minorHAnsi"/>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1CFF4CF">
      <w:pPr>
        <w:autoSpaceDE w:val="0"/>
        <w:autoSpaceDN w:val="0"/>
        <w:adjustRightInd w:val="0"/>
        <w:jc w:val="both"/>
        <w:rPr>
          <w:rFonts w:ascii="Arial" w:hAnsi="Arial" w:cs="Arial" w:eastAsiaTheme="minorHAnsi"/>
        </w:rPr>
      </w:pPr>
    </w:p>
    <w:p w14:paraId="1CF0A412">
      <w:pPr>
        <w:autoSpaceDE w:val="0"/>
        <w:autoSpaceDN w:val="0"/>
        <w:adjustRightInd w:val="0"/>
        <w:jc w:val="both"/>
        <w:rPr>
          <w:rFonts w:ascii="Arial" w:hAnsi="Arial" w:cs="Arial"/>
        </w:rPr>
      </w:pPr>
      <w:r>
        <w:rPr>
          <w:rFonts w:ascii="Arial" w:hAnsi="Arial" w:cs="Arial" w:eastAsiaTheme="minorHAnsi"/>
          <w:lang w:val="sr-Latn-ME"/>
        </w:rPr>
        <w:t>3)</w:t>
      </w:r>
      <w:r>
        <w:rPr>
          <w:rFonts w:ascii="Arial" w:hAnsi="Arial" w:cs="Arial" w:eastAsiaTheme="minorHAnsi"/>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42859F39">
      <w:pPr>
        <w:jc w:val="both"/>
        <w:rPr>
          <w:rFonts w:ascii="Arial" w:hAnsi="Arial" w:cs="Arial"/>
        </w:rPr>
      </w:pPr>
    </w:p>
    <w:p w14:paraId="1C7F33F0">
      <w:pPr>
        <w:jc w:val="both"/>
        <w:rPr>
          <w:rFonts w:ascii="Arial" w:hAnsi="Arial" w:cs="Arial"/>
          <w:lang w:val="sr-Latn-ME"/>
        </w:rPr>
      </w:pPr>
      <w:r>
        <w:rPr>
          <w:rFonts w:ascii="Arial" w:hAnsi="Arial" w:cs="Arial"/>
        </w:rPr>
        <w:t>3</w:t>
      </w:r>
      <w:r>
        <w:rPr>
          <w:rFonts w:ascii="Arial" w:hAnsi="Arial" w:cs="Arial"/>
          <w:lang w:val="sr-Latn-ME"/>
        </w:rPr>
        <w:t xml:space="preserve"> a</w:t>
      </w:r>
      <w:r>
        <w:rPr>
          <w:rFonts w:ascii="Arial" w:hAnsi="Arial" w:cs="Arial"/>
        </w:rPr>
        <w:t xml:space="preserve">) kada je potreba za izmjenom ugovora nastala zbog okolnosti koje naručilac u vrijeme zaključivanja ugovora nije mogao da predvidi, a izmjenom se ne mijenja priroda ugovora </w:t>
      </w:r>
      <w:r>
        <w:rPr>
          <w:rFonts w:ascii="Arial" w:hAnsi="Arial" w:cs="Arial"/>
          <w:lang w:val="sr-Latn-ME"/>
        </w:rPr>
        <w:t>već se vrši samo smanjenje ugovorene vrijednosti.</w:t>
      </w:r>
    </w:p>
    <w:p w14:paraId="3883DD1C">
      <w:pPr>
        <w:jc w:val="both"/>
        <w:rPr>
          <w:rFonts w:ascii="Arial" w:hAnsi="Arial" w:cs="Arial"/>
          <w:lang w:val="sr-Latn-ME"/>
        </w:rPr>
      </w:pPr>
      <w:r>
        <w:rPr>
          <w:rFonts w:ascii="Arial" w:hAnsi="Arial" w:cs="Arial"/>
          <w:lang w:val="sr-Latn-ME"/>
        </w:rPr>
        <w:t>3 b) kada se vrši zamjena podugovarača u skladu sa članom 128 st.10,11, i 12 Zakona.</w:t>
      </w:r>
    </w:p>
    <w:p w14:paraId="119C9CDA">
      <w:pPr>
        <w:jc w:val="both"/>
        <w:rPr>
          <w:rFonts w:ascii="Arial" w:hAnsi="Arial" w:cs="Arial"/>
          <w:lang w:val="sr-Latn-ME"/>
        </w:rPr>
      </w:pPr>
    </w:p>
    <w:p w14:paraId="6C6E61A1">
      <w:pPr>
        <w:jc w:val="both"/>
        <w:rPr>
          <w:rFonts w:ascii="Arial" w:hAnsi="Arial" w:cs="Arial"/>
        </w:rPr>
      </w:pPr>
      <w:r>
        <w:rPr>
          <w:rFonts w:ascii="Arial" w:hAnsi="Arial" w:cs="Arial"/>
        </w:rPr>
        <w:t>4) ako privrednog subjekta nakon restrukturiranja, uključujući preuzimanje, spajanje, kupovinu ili stečaj,</w:t>
      </w:r>
      <w:r>
        <w:rPr>
          <w:rFonts w:ascii="Arial" w:hAnsi="Arial" w:cs="Arial"/>
          <w:lang w:val="sr-Latn-ME"/>
        </w:rPr>
        <w:t xml:space="preserve"> </w:t>
      </w:r>
      <w:r>
        <w:rPr>
          <w:rFonts w:ascii="Arial" w:hAnsi="Arial" w:cs="Arial"/>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619ECD55">
      <w:pPr>
        <w:autoSpaceDE w:val="0"/>
        <w:autoSpaceDN w:val="0"/>
        <w:adjustRightInd w:val="0"/>
        <w:jc w:val="both"/>
        <w:rPr>
          <w:rFonts w:ascii="Arial" w:hAnsi="Arial" w:cs="Arial" w:eastAsiaTheme="minorHAnsi"/>
        </w:rPr>
      </w:pPr>
    </w:p>
    <w:p w14:paraId="2A2F05CC">
      <w:pPr>
        <w:jc w:val="both"/>
        <w:rPr>
          <w:rFonts w:ascii="Arial" w:hAnsi="Arial" w:eastAsia="sans-serif" w:cs="Arial"/>
        </w:rPr>
      </w:pPr>
      <w:r>
        <w:rPr>
          <w:rFonts w:ascii="Arial" w:hAnsi="Arial" w:eastAsia="sans-serif" w:cs="Arial"/>
        </w:rPr>
        <w:t>Izvođač je dužan da potpiše Ugovor u roku od 15 dana od dana dostavljanja, i u istom roku vrati Naručiocu potpisan ugovor</w:t>
      </w:r>
      <w:r>
        <w:rPr>
          <w:rFonts w:hint="default" w:ascii="Arial" w:hAnsi="Arial" w:eastAsia="sans-serif" w:cs="Arial"/>
          <w:lang w:val="sr-Latn-ME"/>
        </w:rPr>
        <w:t xml:space="preserve"> </w:t>
      </w:r>
      <w:r>
        <w:rPr>
          <w:rFonts w:ascii="Arial" w:hAnsi="Arial" w:eastAsia="sans-serif" w:cs="Arial"/>
        </w:rPr>
        <w:t>zajedno sa garancijom za dobro izvršenje ugovora.</w:t>
      </w:r>
    </w:p>
    <w:p w14:paraId="60330EC9">
      <w:pPr>
        <w:jc w:val="both"/>
        <w:rPr>
          <w:rFonts w:ascii="Arial" w:hAnsi="Arial" w:eastAsia="sans-serif" w:cs="Arial"/>
        </w:rPr>
      </w:pPr>
    </w:p>
    <w:p w14:paraId="78F5A039">
      <w:pPr>
        <w:jc w:val="both"/>
        <w:rPr>
          <w:rFonts w:ascii="Arial" w:hAnsi="Arial" w:eastAsia="sans-serif" w:cs="Arial"/>
        </w:rPr>
      </w:pPr>
      <w:r>
        <w:rPr>
          <w:rFonts w:ascii="Arial" w:hAnsi="Arial" w:eastAsia="sans-serif" w:cs="Arial"/>
        </w:rPr>
        <w:t>Ugovor o javnoj nabavci koji je zaključen uz kršenje antikorupcijskog pravila u skladu sa odredbama člana 38 ZJN (Sl.list Crne Gore br. 74/19, 03/23 i 11/23) ništav je.</w:t>
      </w:r>
    </w:p>
    <w:p w14:paraId="06904B59">
      <w:pPr>
        <w:jc w:val="both"/>
        <w:rPr>
          <w:rFonts w:ascii="Arial" w:hAnsi="Arial" w:eastAsia="sans-serif" w:cs="Arial"/>
        </w:rPr>
      </w:pPr>
    </w:p>
    <w:p w14:paraId="24371672">
      <w:pPr>
        <w:jc w:val="both"/>
        <w:rPr>
          <w:rFonts w:ascii="Arial" w:hAnsi="Arial" w:eastAsia="sans-serif" w:cs="Arial"/>
        </w:rPr>
      </w:pPr>
    </w:p>
    <w:p w14:paraId="04C6E534">
      <w:pPr>
        <w:jc w:val="both"/>
        <w:rPr>
          <w:rFonts w:ascii="Arial" w:hAnsi="Arial" w:eastAsia="sans-serif" w:cs="Arial"/>
        </w:rPr>
      </w:pPr>
    </w:p>
    <w:p w14:paraId="7985E263">
      <w:pPr>
        <w:jc w:val="both"/>
        <w:rPr>
          <w:rFonts w:ascii="Arial" w:hAnsi="Arial" w:eastAsia="sans-serif" w:cs="Arial"/>
        </w:rPr>
      </w:pPr>
    </w:p>
    <w:p w14:paraId="0862C37A">
      <w:pPr>
        <w:jc w:val="both"/>
        <w:rPr>
          <w:rFonts w:ascii="Arial" w:hAnsi="Arial" w:eastAsia="sans-serif" w:cs="Arial"/>
        </w:rPr>
      </w:pPr>
    </w:p>
    <w:p w14:paraId="6B052AA2">
      <w:pPr>
        <w:jc w:val="both"/>
        <w:rPr>
          <w:rFonts w:ascii="Arial" w:hAnsi="Arial" w:eastAsia="sans-serif" w:cs="Arial"/>
        </w:rPr>
      </w:pPr>
    </w:p>
    <w:p w14:paraId="433E3D0B">
      <w:pPr>
        <w:jc w:val="both"/>
        <w:rPr>
          <w:rFonts w:ascii="Arial" w:hAnsi="Arial" w:eastAsia="sans-serif" w:cs="Arial"/>
        </w:rPr>
      </w:pPr>
    </w:p>
    <w:p w14:paraId="3F0FD4F7">
      <w:pPr>
        <w:jc w:val="both"/>
        <w:rPr>
          <w:rFonts w:ascii="Arial" w:hAnsi="Arial" w:eastAsia="sans-serif" w:cs="Arial"/>
        </w:rPr>
      </w:pPr>
    </w:p>
    <w:p w14:paraId="17C8FB48">
      <w:pPr>
        <w:jc w:val="both"/>
        <w:rPr>
          <w:rFonts w:ascii="Arial" w:hAnsi="Arial" w:eastAsia="sans-serif" w:cs="Arial"/>
        </w:rPr>
      </w:pPr>
    </w:p>
    <w:p w14:paraId="51397F6E">
      <w:pPr>
        <w:jc w:val="both"/>
        <w:rPr>
          <w:rFonts w:ascii="Arial" w:hAnsi="Arial" w:eastAsia="sans-serif" w:cs="Arial"/>
        </w:rPr>
      </w:pPr>
    </w:p>
    <w:p w14:paraId="2AEB8145">
      <w:pPr>
        <w:jc w:val="both"/>
        <w:rPr>
          <w:rFonts w:ascii="Arial" w:hAnsi="Arial" w:eastAsia="sans-serif" w:cs="Arial"/>
        </w:rPr>
      </w:pPr>
    </w:p>
    <w:p w14:paraId="7FDC0C00">
      <w:pPr>
        <w:jc w:val="both"/>
        <w:rPr>
          <w:rFonts w:ascii="Arial" w:hAnsi="Arial" w:cs="Arial"/>
          <w:color w:val="000000"/>
        </w:rPr>
      </w:pPr>
    </w:p>
    <w:p w14:paraId="3138E48E">
      <w:pPr>
        <w:jc w:val="both"/>
        <w:rPr>
          <w:rFonts w:ascii="Arial" w:hAnsi="Arial" w:cs="Arial"/>
          <w:color w:val="000000"/>
        </w:rPr>
      </w:pPr>
    </w:p>
    <w:p w14:paraId="344F1A24">
      <w:pPr>
        <w:jc w:val="both"/>
        <w:rPr>
          <w:rFonts w:ascii="Arial" w:hAnsi="Arial" w:cs="Arial"/>
          <w:color w:val="000000"/>
        </w:rPr>
      </w:pPr>
    </w:p>
    <w:p w14:paraId="69DD856B">
      <w:pPr>
        <w:jc w:val="both"/>
        <w:rPr>
          <w:rFonts w:ascii="Arial" w:hAnsi="Arial" w:cs="Arial"/>
          <w:color w:val="000000"/>
        </w:rPr>
      </w:pPr>
    </w:p>
    <w:p w14:paraId="0EF48B9E">
      <w:pPr>
        <w:jc w:val="both"/>
        <w:rPr>
          <w:rFonts w:ascii="Arial" w:hAnsi="Arial" w:cs="Arial"/>
          <w:color w:val="000000"/>
        </w:rPr>
      </w:pPr>
    </w:p>
    <w:p w14:paraId="14A884A2">
      <w:pPr>
        <w:jc w:val="both"/>
        <w:rPr>
          <w:rFonts w:ascii="Arial" w:hAnsi="Arial" w:cs="Arial"/>
          <w:color w:val="000000"/>
        </w:rPr>
      </w:pPr>
    </w:p>
    <w:p w14:paraId="1D746F59">
      <w:pPr>
        <w:jc w:val="both"/>
        <w:rPr>
          <w:rFonts w:ascii="Arial" w:hAnsi="Arial" w:cs="Arial"/>
          <w:color w:val="000000"/>
        </w:rPr>
      </w:pPr>
    </w:p>
    <w:p w14:paraId="690DE611">
      <w:pPr>
        <w:jc w:val="both"/>
        <w:rPr>
          <w:rFonts w:ascii="Arial" w:hAnsi="Arial" w:cs="Arial"/>
          <w:color w:val="000000"/>
        </w:rPr>
      </w:pPr>
    </w:p>
    <w:p w14:paraId="0651C310">
      <w:pPr>
        <w:jc w:val="both"/>
        <w:rPr>
          <w:rFonts w:ascii="Arial" w:hAnsi="Arial" w:cs="Arial"/>
          <w:color w:val="000000"/>
        </w:rPr>
      </w:pPr>
    </w:p>
    <w:p w14:paraId="0397D984">
      <w:pPr>
        <w:jc w:val="both"/>
        <w:rPr>
          <w:rFonts w:ascii="Arial" w:hAnsi="Arial" w:eastAsia="sans-serif" w:cs="Arial"/>
        </w:rPr>
      </w:pPr>
    </w:p>
    <w:p w14:paraId="4DACB3B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6"/>
      <w:r>
        <w:rPr>
          <w:rFonts w:ascii="Arial" w:hAnsi="Arial" w:cs="Arial"/>
          <w:b/>
        </w:rPr>
        <w:t>ZAHTJEV ZA POJAŠNJENJE ILI IZMJENU I DOPUNU TENDERSKE DOKUMENTACIJE</w:t>
      </w:r>
      <w:bookmarkEnd w:id="13"/>
    </w:p>
    <w:p w14:paraId="38EFA361">
      <w:pPr>
        <w:jc w:val="both"/>
        <w:rPr>
          <w:rFonts w:ascii="Arial" w:hAnsi="Arial" w:cs="Arial"/>
        </w:rPr>
      </w:pPr>
    </w:p>
    <w:p w14:paraId="0B776154">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4FF5A1F">
      <w:pPr>
        <w:jc w:val="both"/>
        <w:rPr>
          <w:rFonts w:ascii="Arial" w:hAnsi="Arial" w:cs="Arial"/>
        </w:rPr>
      </w:pPr>
    </w:p>
    <w:p w14:paraId="1CEF424D">
      <w:pPr>
        <w:jc w:val="both"/>
        <w:rPr>
          <w:rFonts w:ascii="Arial" w:hAnsi="Arial" w:cs="Arial"/>
        </w:rPr>
      </w:pPr>
      <w:r>
        <w:rPr>
          <w:rFonts w:ascii="Arial" w:hAnsi="Arial" w:cs="Arial"/>
        </w:rPr>
        <w:t>Privredni subjekat ima pravo da pisanim zahtjevom traži od naručioca pojašnjenje tenderske dokumentacije najkasnije deset dana prije isteka roka određenog za dostavljanje ponuda.</w:t>
      </w:r>
    </w:p>
    <w:p w14:paraId="3D7C49A6">
      <w:pPr>
        <w:jc w:val="both"/>
        <w:rPr>
          <w:rFonts w:ascii="Arial" w:hAnsi="Arial" w:cs="Arial"/>
        </w:rPr>
      </w:pPr>
    </w:p>
    <w:p w14:paraId="2C76130B">
      <w:pPr>
        <w:jc w:val="both"/>
        <w:rPr>
          <w:rFonts w:ascii="Arial" w:hAnsi="Arial" w:cs="Arial"/>
          <w:color w:val="000000"/>
        </w:rPr>
      </w:pPr>
      <w:r>
        <w:rPr>
          <w:rFonts w:ascii="Arial" w:hAnsi="Arial" w:cs="Arial"/>
          <w:color w:val="000000"/>
        </w:rPr>
        <w:t>Zahtjev se podnosi isključivo putem ESJN-a.</w:t>
      </w:r>
    </w:p>
    <w:p w14:paraId="4E91D8AB">
      <w:pPr>
        <w:jc w:val="both"/>
        <w:rPr>
          <w:rFonts w:ascii="Arial" w:hAnsi="Arial" w:cs="Arial"/>
          <w:color w:val="000000"/>
        </w:rPr>
      </w:pPr>
    </w:p>
    <w:p w14:paraId="3182B2FD">
      <w:pPr>
        <w:jc w:val="both"/>
        <w:rPr>
          <w:rFonts w:ascii="Arial" w:hAnsi="Arial" w:cs="Arial"/>
          <w:color w:val="000000"/>
        </w:rPr>
      </w:pPr>
    </w:p>
    <w:p w14:paraId="3D385A24">
      <w:pPr>
        <w:jc w:val="both"/>
        <w:rPr>
          <w:rFonts w:ascii="Arial" w:hAnsi="Arial" w:cs="Arial"/>
          <w:color w:val="000000"/>
        </w:rPr>
      </w:pPr>
    </w:p>
    <w:p w14:paraId="7C1F0CEC">
      <w:pPr>
        <w:jc w:val="both"/>
        <w:rPr>
          <w:rFonts w:ascii="Arial" w:hAnsi="Arial" w:cs="Arial"/>
          <w:color w:val="000000"/>
        </w:rPr>
      </w:pPr>
    </w:p>
    <w:p w14:paraId="1AAD7BB0">
      <w:pPr>
        <w:jc w:val="both"/>
        <w:rPr>
          <w:rFonts w:ascii="Arial" w:hAnsi="Arial" w:cs="Arial"/>
          <w:color w:val="000000"/>
        </w:rPr>
      </w:pPr>
    </w:p>
    <w:p w14:paraId="07744D29">
      <w:pPr>
        <w:jc w:val="both"/>
        <w:rPr>
          <w:rFonts w:ascii="Arial" w:hAnsi="Arial" w:cs="Arial"/>
          <w:color w:val="000000"/>
        </w:rPr>
      </w:pPr>
    </w:p>
    <w:p w14:paraId="1DFA2D4A">
      <w:pPr>
        <w:jc w:val="both"/>
        <w:rPr>
          <w:rFonts w:ascii="Arial" w:hAnsi="Arial" w:cs="Arial"/>
          <w:color w:val="000000"/>
        </w:rPr>
      </w:pPr>
    </w:p>
    <w:p w14:paraId="3E6989CF">
      <w:pPr>
        <w:jc w:val="both"/>
        <w:rPr>
          <w:rFonts w:ascii="Arial" w:hAnsi="Arial" w:cs="Arial"/>
          <w:color w:val="000000"/>
        </w:rPr>
      </w:pPr>
    </w:p>
    <w:p w14:paraId="45067C8E">
      <w:pPr>
        <w:jc w:val="both"/>
        <w:rPr>
          <w:rFonts w:ascii="Arial" w:hAnsi="Arial" w:cs="Arial"/>
          <w:color w:val="000000"/>
        </w:rPr>
      </w:pPr>
    </w:p>
    <w:p w14:paraId="71C21BCD">
      <w:pPr>
        <w:jc w:val="both"/>
        <w:rPr>
          <w:rFonts w:ascii="Arial" w:hAnsi="Arial" w:cs="Arial"/>
          <w:color w:val="000000"/>
        </w:rPr>
      </w:pPr>
    </w:p>
    <w:p w14:paraId="1056BA08">
      <w:pPr>
        <w:jc w:val="both"/>
        <w:rPr>
          <w:rFonts w:ascii="Arial" w:hAnsi="Arial" w:cs="Arial"/>
          <w:color w:val="000000"/>
        </w:rPr>
      </w:pPr>
    </w:p>
    <w:p w14:paraId="31B776B1">
      <w:pPr>
        <w:jc w:val="both"/>
        <w:rPr>
          <w:rFonts w:ascii="Arial" w:hAnsi="Arial" w:cs="Arial"/>
          <w:color w:val="000000"/>
        </w:rPr>
      </w:pPr>
    </w:p>
    <w:p w14:paraId="4FAD7E0B">
      <w:pPr>
        <w:jc w:val="both"/>
        <w:rPr>
          <w:rFonts w:ascii="Arial" w:hAnsi="Arial" w:cs="Arial"/>
          <w:color w:val="000000"/>
        </w:rPr>
      </w:pPr>
    </w:p>
    <w:p w14:paraId="4A97BFD5">
      <w:pPr>
        <w:jc w:val="both"/>
        <w:rPr>
          <w:rFonts w:ascii="Arial" w:hAnsi="Arial" w:cs="Arial"/>
          <w:color w:val="000000"/>
        </w:rPr>
      </w:pPr>
    </w:p>
    <w:p w14:paraId="0874333F">
      <w:pPr>
        <w:jc w:val="both"/>
        <w:rPr>
          <w:rFonts w:ascii="Arial" w:hAnsi="Arial" w:cs="Arial"/>
          <w:color w:val="000000"/>
        </w:rPr>
      </w:pPr>
    </w:p>
    <w:p w14:paraId="5B071C45">
      <w:pPr>
        <w:jc w:val="both"/>
        <w:rPr>
          <w:rFonts w:ascii="Arial" w:hAnsi="Arial" w:cs="Arial"/>
          <w:color w:val="000000"/>
        </w:rPr>
      </w:pPr>
    </w:p>
    <w:p w14:paraId="754CACB9">
      <w:pPr>
        <w:jc w:val="both"/>
        <w:rPr>
          <w:rFonts w:ascii="Arial" w:hAnsi="Arial" w:cs="Arial"/>
          <w:color w:val="000000"/>
        </w:rPr>
      </w:pPr>
    </w:p>
    <w:p w14:paraId="08033DE3">
      <w:pPr>
        <w:jc w:val="both"/>
        <w:rPr>
          <w:rFonts w:ascii="Arial" w:hAnsi="Arial" w:cs="Arial"/>
          <w:color w:val="000000"/>
        </w:rPr>
      </w:pPr>
    </w:p>
    <w:p w14:paraId="5A2666CE">
      <w:pPr>
        <w:jc w:val="both"/>
        <w:rPr>
          <w:rFonts w:ascii="Arial" w:hAnsi="Arial" w:cs="Arial"/>
          <w:color w:val="000000"/>
        </w:rPr>
      </w:pPr>
    </w:p>
    <w:p w14:paraId="0765A91D">
      <w:pPr>
        <w:jc w:val="both"/>
        <w:rPr>
          <w:rFonts w:ascii="Arial" w:hAnsi="Arial" w:cs="Arial"/>
          <w:color w:val="000000"/>
        </w:rPr>
      </w:pPr>
    </w:p>
    <w:p w14:paraId="2B71F3FC">
      <w:pPr>
        <w:jc w:val="both"/>
        <w:rPr>
          <w:rFonts w:ascii="Arial" w:hAnsi="Arial" w:cs="Arial"/>
          <w:color w:val="000000"/>
        </w:rPr>
      </w:pPr>
    </w:p>
    <w:p w14:paraId="35EEC3B3">
      <w:pPr>
        <w:jc w:val="both"/>
        <w:rPr>
          <w:rFonts w:ascii="Arial" w:hAnsi="Arial" w:cs="Arial"/>
          <w:color w:val="000000"/>
        </w:rPr>
      </w:pPr>
    </w:p>
    <w:p w14:paraId="0F61A8C4">
      <w:pPr>
        <w:jc w:val="both"/>
        <w:rPr>
          <w:rFonts w:ascii="Arial" w:hAnsi="Arial" w:cs="Arial"/>
          <w:color w:val="000000"/>
        </w:rPr>
      </w:pPr>
    </w:p>
    <w:p w14:paraId="39BE78E0">
      <w:pPr>
        <w:jc w:val="both"/>
        <w:rPr>
          <w:rFonts w:ascii="Arial" w:hAnsi="Arial" w:cs="Arial"/>
          <w:color w:val="000000"/>
        </w:rPr>
      </w:pPr>
    </w:p>
    <w:p w14:paraId="45BC1D6A">
      <w:pPr>
        <w:jc w:val="both"/>
        <w:rPr>
          <w:rFonts w:ascii="Arial" w:hAnsi="Arial" w:cs="Arial"/>
          <w:color w:val="000000"/>
        </w:rPr>
      </w:pPr>
    </w:p>
    <w:p w14:paraId="4BD1A367">
      <w:pPr>
        <w:jc w:val="both"/>
        <w:rPr>
          <w:rFonts w:ascii="Arial" w:hAnsi="Arial" w:cs="Arial"/>
          <w:color w:val="000000"/>
        </w:rPr>
      </w:pPr>
    </w:p>
    <w:p w14:paraId="5749AB04">
      <w:pPr>
        <w:jc w:val="both"/>
        <w:rPr>
          <w:rFonts w:ascii="Arial" w:hAnsi="Arial" w:cs="Arial"/>
          <w:color w:val="000000"/>
        </w:rPr>
      </w:pPr>
    </w:p>
    <w:p w14:paraId="08326E91">
      <w:pPr>
        <w:jc w:val="both"/>
        <w:rPr>
          <w:rFonts w:ascii="Arial" w:hAnsi="Arial" w:cs="Arial"/>
          <w:color w:val="000000"/>
        </w:rPr>
      </w:pPr>
    </w:p>
    <w:p w14:paraId="220CFA28">
      <w:pPr>
        <w:jc w:val="both"/>
        <w:rPr>
          <w:rFonts w:ascii="Arial" w:hAnsi="Arial" w:cs="Arial"/>
          <w:color w:val="000000"/>
        </w:rPr>
      </w:pPr>
    </w:p>
    <w:p w14:paraId="420ABBE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u w:val="single"/>
        </w:rPr>
      </w:pPr>
      <w:bookmarkStart w:id="14" w:name="_Toc416180136"/>
      <w:bookmarkStart w:id="15" w:name="_Toc508349235"/>
      <w:bookmarkStart w:id="16" w:name="_Toc62730567"/>
      <w:r>
        <w:rPr>
          <w:rFonts w:ascii="Arial" w:hAnsi="Arial" w:cs="Arial"/>
          <w:b/>
        </w:rPr>
        <w:t>IZJAVA NARUČIOCA O NEPOSTOJANJU SUKOBA INTERESA</w:t>
      </w:r>
      <w:bookmarkEnd w:id="14"/>
      <w:bookmarkEnd w:id="15"/>
      <w:bookmarkEnd w:id="16"/>
    </w:p>
    <w:p w14:paraId="16390067">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14:paraId="3200F904">
      <w:pPr>
        <w:jc w:val="both"/>
        <w:rPr>
          <w:rFonts w:hint="default" w:ascii="Arial" w:hAnsi="Arial" w:cs="Arial"/>
          <w:color w:val="000000"/>
          <w:sz w:val="22"/>
          <w:szCs w:val="22"/>
          <w:lang w:val="sr-Latn-ME"/>
        </w:rPr>
      </w:pPr>
      <w:r>
        <w:rPr>
          <w:rFonts w:ascii="Arial" w:hAnsi="Arial" w:cs="Arial"/>
          <w:color w:val="000000"/>
          <w:sz w:val="22"/>
          <w:szCs w:val="22"/>
        </w:rPr>
        <w:t xml:space="preserve">Broj: </w:t>
      </w:r>
      <w:r>
        <w:rPr>
          <w:rFonts w:hint="default" w:ascii="Arial" w:hAnsi="Arial" w:cs="Arial"/>
          <w:color w:val="000000"/>
          <w:sz w:val="22"/>
          <w:szCs w:val="22"/>
          <w:lang w:val="sr-Latn-ME"/>
        </w:rPr>
        <w:t>10227</w:t>
      </w:r>
    </w:p>
    <w:p w14:paraId="0226C271">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 </w:t>
      </w:r>
      <w:r>
        <w:rPr>
          <w:rFonts w:hint="default" w:ascii="Arial" w:hAnsi="Arial" w:cs="Arial"/>
          <w:color w:val="000000"/>
          <w:sz w:val="22"/>
          <w:szCs w:val="22"/>
          <w:lang w:val="en-US"/>
        </w:rPr>
        <w:t>16.09</w:t>
      </w:r>
      <w:r>
        <w:rPr>
          <w:rFonts w:ascii="Arial" w:hAnsi="Arial" w:cs="Arial"/>
          <w:color w:val="000000"/>
          <w:sz w:val="22"/>
          <w:szCs w:val="22"/>
          <w:lang w:val="sr-Latn-ME"/>
        </w:rPr>
        <w:t>.2024.godine</w:t>
      </w:r>
    </w:p>
    <w:p w14:paraId="005D70EC">
      <w:pPr>
        <w:jc w:val="both"/>
        <w:rPr>
          <w:rFonts w:ascii="Arial" w:hAnsi="Arial" w:cs="Arial"/>
          <w:b/>
          <w:bCs/>
          <w:color w:val="000000"/>
          <w:sz w:val="22"/>
          <w:szCs w:val="22"/>
        </w:rPr>
      </w:pPr>
    </w:p>
    <w:p w14:paraId="00185471">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14:paraId="7D15C4FC">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20F94354">
      <w:pPr>
        <w:tabs>
          <w:tab w:val="left" w:pos="3290"/>
        </w:tabs>
        <w:jc w:val="both"/>
        <w:rPr>
          <w:rFonts w:ascii="Arial" w:hAnsi="Arial" w:cs="Arial"/>
          <w:color w:val="000000"/>
          <w:sz w:val="22"/>
          <w:szCs w:val="22"/>
        </w:rPr>
      </w:pPr>
    </w:p>
    <w:p w14:paraId="4063C120">
      <w:pPr>
        <w:jc w:val="both"/>
        <w:rPr>
          <w:rFonts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49</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en-US"/>
        </w:rPr>
        <w:t>08. avgusta</w:t>
      </w:r>
      <w:r>
        <w:rPr>
          <w:rFonts w:hint="default" w:ascii="Arial" w:hAnsi="Arial" w:cs="Arial"/>
          <w:sz w:val="22"/>
          <w:szCs w:val="22"/>
          <w:lang w:val="sr-Latn-ME"/>
        </w:rPr>
        <w:t xml:space="preserve">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rPr>
        <w:t xml:space="preserve">pod brojem </w:t>
      </w:r>
      <w:r>
        <w:rPr>
          <w:rFonts w:hint="default" w:ascii="Arial" w:hAnsi="Arial" w:cs="Arial"/>
          <w:sz w:val="22"/>
          <w:szCs w:val="22"/>
          <w:lang w:val="sr-Latn-ME"/>
        </w:rPr>
        <w:t>301/</w:t>
      </w:r>
      <w:r>
        <w:rPr>
          <w:rFonts w:hint="default" w:ascii="Arial" w:hAnsi="Arial" w:cs="Arial"/>
          <w:sz w:val="22"/>
          <w:szCs w:val="22"/>
          <w:lang w:val="en-US"/>
        </w:rPr>
        <w:t>3</w:t>
      </w:r>
      <w:r>
        <w:rPr>
          <w:rFonts w:hint="default" w:ascii="Arial" w:hAnsi="Arial" w:cs="Arial"/>
          <w:sz w:val="22"/>
          <w:szCs w:val="22"/>
        </w:rPr>
        <w:t>,</w:t>
      </w:r>
      <w:r>
        <w:rPr>
          <w:rFonts w:hint="default" w:ascii="Arial" w:hAnsi="Arial" w:cs="Arial"/>
          <w:color w:val="000000"/>
          <w:sz w:val="22"/>
          <w:szCs w:val="22"/>
        </w:rPr>
        <w:t xml:space="preserve"> za nabavku</w:t>
      </w:r>
      <w:r>
        <w:rPr>
          <w:rFonts w:hint="default" w:ascii="Arial" w:hAnsi="Arial" w:cs="Arial"/>
          <w:color w:val="000000"/>
          <w:sz w:val="22"/>
          <w:szCs w:val="22"/>
          <w:lang w:val="sr-Latn-ME"/>
        </w:rPr>
        <w:t>:</w:t>
      </w:r>
      <w:r>
        <w:rPr>
          <w:rFonts w:hint="default" w:ascii="Arial" w:hAnsi="Arial" w:cs="Arial"/>
          <w:color w:val="000000"/>
          <w:sz w:val="22"/>
          <w:szCs w:val="22"/>
        </w:rPr>
        <w:t xml:space="preserve"> </w:t>
      </w:r>
      <w:r>
        <w:rPr>
          <w:rFonts w:hint="default" w:ascii="Arial" w:hAnsi="Arial" w:cs="Arial"/>
          <w:color w:val="000000"/>
          <w:sz w:val="22"/>
          <w:szCs w:val="22"/>
          <w:lang w:val="sr-Latn-ME"/>
        </w:rPr>
        <w:t>Usluge popravki i održavanja autobusa i kombi vozila,</w:t>
      </w:r>
      <w:r>
        <w:rPr>
          <w:rFonts w:hint="default" w:ascii="Arial" w:hAnsi="Arial" w:cs="Arial"/>
          <w:sz w:val="22"/>
          <w:szCs w:val="22"/>
          <w:shd w:val="clear" w:color="auto" w:fill="FFFFFF"/>
          <w:lang w:val="sr-Latn-ME"/>
        </w:rPr>
        <w:t xml:space="preserve"> </w:t>
      </w:r>
      <w:r>
        <w:rPr>
          <w:rFonts w:hint="default" w:ascii="Arial" w:hAnsi="Arial" w:cs="Arial"/>
          <w:color w:val="000000"/>
          <w:sz w:val="22"/>
          <w:szCs w:val="22"/>
        </w:rPr>
        <w:t>nijesam u sukobu interesa u smislu člana 41 stav 1 tačka 1 Zakona o javnim nabavkama i da ne postoji ekonomski i drugi lični interes koji može uticati na moju nepristrasnost i nezavisnost u ovom postupku javne nabavke.</w:t>
      </w:r>
    </w:p>
    <w:p w14:paraId="7703D81D">
      <w:pPr>
        <w:tabs>
          <w:tab w:val="left" w:pos="3290"/>
        </w:tabs>
        <w:jc w:val="both"/>
        <w:rPr>
          <w:rFonts w:ascii="Arial" w:hAnsi="Arial" w:cs="Arial"/>
          <w:color w:val="000000"/>
          <w:sz w:val="22"/>
          <w:szCs w:val="22"/>
        </w:rPr>
      </w:pPr>
    </w:p>
    <w:p w14:paraId="37134A07">
      <w:pPr>
        <w:jc w:val="center"/>
        <w:rPr>
          <w:rFonts w:ascii="Arial" w:hAnsi="Arial" w:cs="Arial"/>
          <w:b/>
          <w:color w:val="000000"/>
          <w:sz w:val="22"/>
          <w:szCs w:val="22"/>
        </w:rPr>
      </w:pPr>
      <w:r>
        <w:rPr>
          <w:color w:val="000000"/>
          <w:sz w:val="22"/>
          <w:szCs w:val="22"/>
        </w:rPr>
        <w:t xml:space="preserve">                                                                                                    </w:t>
      </w:r>
      <w:r>
        <w:rPr>
          <w:color w:val="000000"/>
          <w:sz w:val="22"/>
          <w:szCs w:val="22"/>
          <w:lang w:val="sr-Latn-ME"/>
        </w:rPr>
        <w:t xml:space="preserve">         </w:t>
      </w:r>
      <w:r>
        <w:rPr>
          <w:color w:val="000000"/>
          <w:sz w:val="22"/>
          <w:szCs w:val="22"/>
        </w:rPr>
        <w:t xml:space="preserve">  </w:t>
      </w:r>
      <w:r>
        <w:rPr>
          <w:rFonts w:ascii="Arial" w:hAnsi="Arial" w:cs="Arial"/>
          <w:color w:val="000000"/>
          <w:sz w:val="22"/>
          <w:szCs w:val="22"/>
        </w:rPr>
        <w:t xml:space="preserve"> </w:t>
      </w:r>
      <w:r>
        <w:rPr>
          <w:rFonts w:ascii="Arial" w:hAnsi="Arial" w:cs="Arial"/>
          <w:b/>
          <w:color w:val="000000"/>
          <w:sz w:val="22"/>
          <w:szCs w:val="22"/>
        </w:rPr>
        <w:t xml:space="preserve">Ovlašćeno lice naručioca </w:t>
      </w:r>
    </w:p>
    <w:p w14:paraId="7AA42F8C">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36BEF2A2">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44C63F24">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00C4DF47">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2B62E009">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4A439E16">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16411DE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6A84870C">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14:paraId="689486EB">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51CE8B25">
      <w:pPr>
        <w:tabs>
          <w:tab w:val="left" w:pos="3290"/>
        </w:tabs>
        <w:ind w:firstLine="1134"/>
        <w:jc w:val="right"/>
        <w:rPr>
          <w:rFonts w:hint="default" w:ascii="Arial" w:hAnsi="Arial" w:eastAsia="Calibri" w:cs="Arial"/>
          <w:sz w:val="22"/>
          <w:szCs w:val="22"/>
          <w:lang w:val="sr-Latn-ME"/>
        </w:rPr>
      </w:pPr>
      <w:r>
        <w:rPr>
          <w:rFonts w:hint="default" w:ascii="Arial" w:hAnsi="Arial" w:eastAsia="Calibri" w:cs="Arial"/>
          <w:sz w:val="22"/>
          <w:szCs w:val="22"/>
          <w:lang w:val="en-US"/>
        </w:rPr>
        <w:t>Luka Radi</w:t>
      </w:r>
      <w:r>
        <w:rPr>
          <w:rFonts w:hint="default" w:ascii="Arial" w:hAnsi="Arial" w:eastAsia="Calibri" w:cs="Arial"/>
          <w:sz w:val="22"/>
          <w:szCs w:val="22"/>
          <w:lang w:val="sr-Latn-ME"/>
        </w:rPr>
        <w:t>čević, dipl.inž.maš.</w:t>
      </w:r>
    </w:p>
    <w:p w14:paraId="6A924DB2">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7C459049">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14:paraId="6737C18A">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5E599132">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 xml:space="preserve">Aleksandra Popović,dipl.menag. </w:t>
      </w:r>
    </w:p>
    <w:p w14:paraId="272A6878">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14:paraId="7561B767">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14:paraId="4416548F">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E71171E">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mr. Slobodan Mandić</w:t>
      </w:r>
      <w:r>
        <w:rPr>
          <w:rFonts w:ascii="Arial" w:hAnsi="Arial" w:cs="Arial"/>
          <w:iCs/>
          <w:color w:val="000000"/>
          <w:sz w:val="22"/>
          <w:szCs w:val="22"/>
          <w:lang w:val="sr-Latn-ME"/>
        </w:rPr>
        <w:t xml:space="preserve"> </w:t>
      </w:r>
    </w:p>
    <w:p w14:paraId="1BAD5D49">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60AADB5B">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14:paraId="12E3307F">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27EE9FA2">
      <w:pPr>
        <w:tabs>
          <w:tab w:val="left" w:pos="3290"/>
        </w:tabs>
        <w:ind w:firstLine="1134"/>
        <w:jc w:val="right"/>
        <w:rPr>
          <w:rFonts w:ascii="Arial" w:hAnsi="Arial" w:cs="Arial"/>
          <w:iCs/>
          <w:color w:val="000000"/>
          <w:sz w:val="22"/>
          <w:szCs w:val="22"/>
          <w:lang w:val="sr-Latn-ME"/>
        </w:rPr>
      </w:pPr>
      <w:r>
        <w:rPr>
          <w:rFonts w:ascii="Arial" w:hAnsi="Arial" w:eastAsia="Calibri" w:cs="Arial"/>
          <w:sz w:val="22"/>
          <w:szCs w:val="22"/>
        </w:rPr>
        <w:t>mr.Miloš Vučelić</w:t>
      </w:r>
    </w:p>
    <w:p w14:paraId="4ADA437B">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6960EB3B">
      <w:pPr>
        <w:tabs>
          <w:tab w:val="left" w:pos="3290"/>
        </w:tabs>
        <w:ind w:firstLine="1134"/>
        <w:jc w:val="center"/>
        <w:rPr>
          <w:rFonts w:ascii="Arial" w:hAnsi="Arial" w:cs="Arial"/>
          <w:b/>
          <w:bCs/>
          <w:color w:val="000000"/>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48239787">
      <w:pPr>
        <w:tabs>
          <w:tab w:val="left" w:pos="3290"/>
        </w:tabs>
        <w:ind w:firstLine="1134"/>
        <w:jc w:val="right"/>
        <w:rPr>
          <w:rFonts w:ascii="Arial" w:hAnsi="Arial" w:cs="Arial"/>
          <w:b/>
          <w:iCs/>
          <w:color w:val="000000"/>
          <w:sz w:val="22"/>
          <w:szCs w:val="22"/>
        </w:rPr>
      </w:pPr>
      <w:r>
        <w:rPr>
          <w:rFonts w:hint="default" w:ascii="Arial" w:hAnsi="Arial" w:cs="Arial"/>
          <w:b/>
          <w:bCs/>
          <w:color w:val="000000"/>
          <w:lang w:val="sr-Latn-ME"/>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49CEF9C1">
      <w:pPr>
        <w:tabs>
          <w:tab w:val="left" w:pos="3290"/>
        </w:tabs>
        <w:ind w:firstLine="1134"/>
        <w:jc w:val="right"/>
        <w:rPr>
          <w:rFonts w:hint="default" w:ascii="Arial" w:hAnsi="Arial" w:eastAsia="Calibri" w:cs="Arial"/>
          <w:sz w:val="22"/>
          <w:szCs w:val="22"/>
          <w:lang w:val="sr-Latn-ME"/>
        </w:rPr>
      </w:pPr>
      <w:r>
        <w:rPr>
          <w:rFonts w:hint="default" w:ascii="Arial" w:hAnsi="Arial" w:eastAsia="Calibri" w:cs="Arial"/>
          <w:sz w:val="22"/>
          <w:szCs w:val="22"/>
          <w:lang w:val="en-US"/>
        </w:rPr>
        <w:t>Luka Radi</w:t>
      </w:r>
      <w:r>
        <w:rPr>
          <w:rFonts w:hint="default" w:ascii="Arial" w:hAnsi="Arial" w:eastAsia="Calibri" w:cs="Arial"/>
          <w:sz w:val="22"/>
          <w:szCs w:val="22"/>
          <w:lang w:val="sr-Latn-ME"/>
        </w:rPr>
        <w:t>čević, dipl.inž.maš.</w:t>
      </w:r>
    </w:p>
    <w:p w14:paraId="03420C91">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758B43CC">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3E72DA30">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32CBC83C">
      <w:pPr>
        <w:tabs>
          <w:tab w:val="left" w:pos="3290"/>
        </w:tabs>
        <w:wordWrap w:val="0"/>
        <w:ind w:firstLine="1134"/>
        <w:jc w:val="right"/>
        <w:rPr>
          <w:rFonts w:hint="default" w:ascii="Arial" w:hAnsi="Arial" w:eastAsia="Calibri" w:cs="Arial"/>
          <w:sz w:val="22"/>
          <w:szCs w:val="22"/>
          <w:lang w:val="sr-Latn-ME"/>
        </w:rPr>
      </w:pPr>
      <w:r>
        <w:rPr>
          <w:rFonts w:hint="default" w:ascii="Arial" w:hAnsi="Arial" w:eastAsia="Calibri" w:cs="Arial"/>
          <w:sz w:val="22"/>
          <w:szCs w:val="22"/>
          <w:lang w:val="sr-Latn-ME"/>
        </w:rPr>
        <w:t>Milica Caković,dipl.pravnik.</w:t>
      </w:r>
    </w:p>
    <w:p w14:paraId="7D0BDAD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73CC3B07">
      <w:pPr>
        <w:tabs>
          <w:tab w:val="left" w:pos="3290"/>
        </w:tabs>
        <w:ind w:firstLine="1134"/>
        <w:jc w:val="center"/>
        <w:rPr>
          <w:rFonts w:hint="default" w:ascii="Arial" w:hAnsi="Arial" w:cs="Arial"/>
          <w:i/>
          <w:iCs/>
          <w:color w:val="000000"/>
          <w:sz w:val="22"/>
          <w:szCs w:val="22"/>
          <w:lang w:val="en-US"/>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hint="default" w:ascii="Arial" w:hAnsi="Arial" w:cs="Arial"/>
          <w:i/>
          <w:iCs/>
          <w:color w:val="000000"/>
          <w:sz w:val="22"/>
          <w:szCs w:val="22"/>
          <w:lang w:val="en-US"/>
        </w:rPr>
        <w:t>s.r.</w:t>
      </w:r>
    </w:p>
    <w:p w14:paraId="639097D8">
      <w:pPr>
        <w:jc w:val="both"/>
        <w:rPr>
          <w:rFonts w:ascii="Arial" w:hAnsi="Arial" w:cs="Arial"/>
          <w:b/>
          <w:bCs/>
          <w:color w:val="000000"/>
        </w:rPr>
      </w:pPr>
    </w:p>
    <w:p w14:paraId="64BAE288">
      <w:pPr>
        <w:jc w:val="both"/>
        <w:rPr>
          <w:rFonts w:ascii="Arial" w:hAnsi="Arial" w:cs="Arial"/>
          <w:b/>
          <w:bCs/>
          <w:color w:val="000000"/>
        </w:rPr>
      </w:pPr>
    </w:p>
    <w:p w14:paraId="670CBE42">
      <w:pPr>
        <w:jc w:val="both"/>
        <w:rPr>
          <w:rFonts w:ascii="Arial" w:hAnsi="Arial" w:cs="Arial"/>
          <w:b/>
          <w:bCs/>
          <w:color w:val="000000"/>
        </w:rPr>
      </w:pPr>
    </w:p>
    <w:p w14:paraId="3630F0DC">
      <w:pPr>
        <w:jc w:val="both"/>
        <w:rPr>
          <w:rFonts w:ascii="Arial" w:hAnsi="Arial" w:cs="Arial"/>
          <w:b/>
          <w:bCs/>
          <w:color w:val="000000"/>
        </w:rPr>
      </w:pPr>
    </w:p>
    <w:p w14:paraId="457F887A">
      <w:pPr>
        <w:jc w:val="both"/>
        <w:rPr>
          <w:rFonts w:ascii="Arial" w:hAnsi="Arial" w:cs="Arial"/>
          <w:b/>
          <w:bCs/>
          <w:color w:val="000000"/>
        </w:rPr>
      </w:pPr>
    </w:p>
    <w:p w14:paraId="176117D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14:paraId="15054B13">
      <w:pPr>
        <w:tabs>
          <w:tab w:val="left" w:pos="5760"/>
        </w:tabs>
        <w:jc w:val="center"/>
        <w:rPr>
          <w:rFonts w:ascii="Arial" w:hAnsi="Arial" w:cs="Arial"/>
          <w:color w:val="000000"/>
        </w:rPr>
      </w:pPr>
    </w:p>
    <w:p w14:paraId="7BBB4B19">
      <w:pPr>
        <w:tabs>
          <w:tab w:val="left" w:pos="5760"/>
        </w:tabs>
        <w:jc w:val="center"/>
        <w:rPr>
          <w:rFonts w:ascii="Arial" w:hAnsi="Arial" w:cs="Arial"/>
          <w:color w:val="000000"/>
        </w:rPr>
      </w:pPr>
    </w:p>
    <w:p w14:paraId="14FC2028">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00A51BE6">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0641998">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5274A725">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FF4A9CC">
      <w:pPr>
        <w:tabs>
          <w:tab w:val="left" w:pos="5760"/>
        </w:tabs>
        <w:jc w:val="both"/>
        <w:rPr>
          <w:rFonts w:ascii="Arial" w:hAnsi="Arial" w:cs="Arial"/>
          <w:color w:val="000000"/>
          <w:lang w:val="sr-Latn-ME"/>
        </w:rPr>
      </w:pPr>
    </w:p>
    <w:p w14:paraId="6ECA0F3E">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6E3AE749">
      <w:pPr>
        <w:autoSpaceDE w:val="0"/>
        <w:autoSpaceDN w:val="0"/>
        <w:adjustRightInd w:val="0"/>
        <w:ind w:firstLine="567"/>
        <w:jc w:val="both"/>
        <w:rPr>
          <w:rFonts w:ascii="Arial" w:hAnsi="Arial" w:cs="Arial"/>
          <w:color w:val="000000"/>
          <w:lang w:val="sr-Latn-ME"/>
        </w:rPr>
      </w:pPr>
    </w:p>
    <w:p w14:paraId="46F5CCB2">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C55C507">
      <w:pPr>
        <w:tabs>
          <w:tab w:val="left" w:pos="5760"/>
        </w:tabs>
        <w:ind w:firstLine="567"/>
        <w:jc w:val="both"/>
        <w:rPr>
          <w:rFonts w:ascii="Arial" w:hAnsi="Arial" w:cs="Arial"/>
          <w:color w:val="000000"/>
          <w:lang w:val="sr-Latn-ME"/>
        </w:rPr>
      </w:pPr>
    </w:p>
    <w:p w14:paraId="3472A972">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43F06559">
      <w:pPr>
        <w:tabs>
          <w:tab w:val="left" w:pos="5760"/>
        </w:tabs>
        <w:ind w:firstLine="567"/>
        <w:jc w:val="both"/>
        <w:rPr>
          <w:rFonts w:ascii="Arial" w:hAnsi="Arial" w:cs="Arial"/>
          <w:color w:val="000000"/>
          <w:lang w:val="sr-Latn-ME"/>
        </w:rPr>
      </w:pPr>
    </w:p>
    <w:p w14:paraId="226C7B52">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76CDA98F"/>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0BE8F60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4F25B9F">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11B040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4B1C8C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0FAB8136">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ADFEB5F">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15E3520C">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561C1414">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6"/>
    <w:footnote w:id="17"/>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10193A"/>
    <w:rsid w:val="001364FB"/>
    <w:rsid w:val="002103AD"/>
    <w:rsid w:val="00265BDA"/>
    <w:rsid w:val="0034370C"/>
    <w:rsid w:val="00362796"/>
    <w:rsid w:val="005908F1"/>
    <w:rsid w:val="005E6BEB"/>
    <w:rsid w:val="0062370D"/>
    <w:rsid w:val="00670B19"/>
    <w:rsid w:val="00691C76"/>
    <w:rsid w:val="006C7C6E"/>
    <w:rsid w:val="006F5555"/>
    <w:rsid w:val="00722F9A"/>
    <w:rsid w:val="008A3A59"/>
    <w:rsid w:val="008F7330"/>
    <w:rsid w:val="00A50637"/>
    <w:rsid w:val="00A66878"/>
    <w:rsid w:val="00AC1C0B"/>
    <w:rsid w:val="00BB2F09"/>
    <w:rsid w:val="00BC12A6"/>
    <w:rsid w:val="00CB7DD4"/>
    <w:rsid w:val="00CD3536"/>
    <w:rsid w:val="00DE1AC2"/>
    <w:rsid w:val="00EF33CB"/>
    <w:rsid w:val="00FA7AE8"/>
    <w:rsid w:val="010467A1"/>
    <w:rsid w:val="012B0079"/>
    <w:rsid w:val="0182654C"/>
    <w:rsid w:val="01A677D7"/>
    <w:rsid w:val="02153BB4"/>
    <w:rsid w:val="02F632E0"/>
    <w:rsid w:val="03072609"/>
    <w:rsid w:val="03182BA3"/>
    <w:rsid w:val="035B4911"/>
    <w:rsid w:val="03740749"/>
    <w:rsid w:val="047D6AC0"/>
    <w:rsid w:val="04933C0D"/>
    <w:rsid w:val="06971860"/>
    <w:rsid w:val="06A52736"/>
    <w:rsid w:val="0704058A"/>
    <w:rsid w:val="08021077"/>
    <w:rsid w:val="08621045"/>
    <w:rsid w:val="0882267F"/>
    <w:rsid w:val="08A80079"/>
    <w:rsid w:val="09BD1444"/>
    <w:rsid w:val="09C84CD6"/>
    <w:rsid w:val="0A054415"/>
    <w:rsid w:val="0A056F7E"/>
    <w:rsid w:val="0A183218"/>
    <w:rsid w:val="0AB321EE"/>
    <w:rsid w:val="0B2A50B3"/>
    <w:rsid w:val="0B5A60E7"/>
    <w:rsid w:val="0C006841"/>
    <w:rsid w:val="0C484BFB"/>
    <w:rsid w:val="0CDF54F2"/>
    <w:rsid w:val="0DA62989"/>
    <w:rsid w:val="0F3570D4"/>
    <w:rsid w:val="0F94211D"/>
    <w:rsid w:val="10381554"/>
    <w:rsid w:val="104C382C"/>
    <w:rsid w:val="10AD7E95"/>
    <w:rsid w:val="10F25464"/>
    <w:rsid w:val="11590A6C"/>
    <w:rsid w:val="1199230C"/>
    <w:rsid w:val="119A56B6"/>
    <w:rsid w:val="129C348E"/>
    <w:rsid w:val="12BA46A8"/>
    <w:rsid w:val="12E82000"/>
    <w:rsid w:val="13AB6B06"/>
    <w:rsid w:val="13B528C6"/>
    <w:rsid w:val="143B675F"/>
    <w:rsid w:val="14603B2F"/>
    <w:rsid w:val="14A764D8"/>
    <w:rsid w:val="14CC51E3"/>
    <w:rsid w:val="14EF6EE8"/>
    <w:rsid w:val="15E92B64"/>
    <w:rsid w:val="167A20EE"/>
    <w:rsid w:val="16946B78"/>
    <w:rsid w:val="16A268E5"/>
    <w:rsid w:val="16CD5BE6"/>
    <w:rsid w:val="17D3768B"/>
    <w:rsid w:val="186E045C"/>
    <w:rsid w:val="18873593"/>
    <w:rsid w:val="1A4E2478"/>
    <w:rsid w:val="1BF0400B"/>
    <w:rsid w:val="1C6E7533"/>
    <w:rsid w:val="1C6F052C"/>
    <w:rsid w:val="1C933922"/>
    <w:rsid w:val="1D283549"/>
    <w:rsid w:val="1D4E6BA1"/>
    <w:rsid w:val="1E467139"/>
    <w:rsid w:val="1F5D6788"/>
    <w:rsid w:val="1FD257A9"/>
    <w:rsid w:val="1FFC12EA"/>
    <w:rsid w:val="204609CE"/>
    <w:rsid w:val="207A466C"/>
    <w:rsid w:val="216453A6"/>
    <w:rsid w:val="21D02A2F"/>
    <w:rsid w:val="21F7390F"/>
    <w:rsid w:val="22040F70"/>
    <w:rsid w:val="22FE5CD5"/>
    <w:rsid w:val="233A3FF8"/>
    <w:rsid w:val="23FF0219"/>
    <w:rsid w:val="241F5F34"/>
    <w:rsid w:val="24477CD2"/>
    <w:rsid w:val="246D799A"/>
    <w:rsid w:val="24B536CC"/>
    <w:rsid w:val="25B1246F"/>
    <w:rsid w:val="25B75CE2"/>
    <w:rsid w:val="263059B9"/>
    <w:rsid w:val="280067C0"/>
    <w:rsid w:val="28A8053C"/>
    <w:rsid w:val="2945261F"/>
    <w:rsid w:val="2A180EA7"/>
    <w:rsid w:val="2BCB6C93"/>
    <w:rsid w:val="2BE07D12"/>
    <w:rsid w:val="2CFA309F"/>
    <w:rsid w:val="2D7F5B60"/>
    <w:rsid w:val="2DB94CBF"/>
    <w:rsid w:val="2DBE3DD1"/>
    <w:rsid w:val="2E0317A5"/>
    <w:rsid w:val="2E093F97"/>
    <w:rsid w:val="2E312AA7"/>
    <w:rsid w:val="2F52325C"/>
    <w:rsid w:val="311F2ED7"/>
    <w:rsid w:val="32A85B6B"/>
    <w:rsid w:val="32B4220A"/>
    <w:rsid w:val="32D317A1"/>
    <w:rsid w:val="32FD564D"/>
    <w:rsid w:val="339662D2"/>
    <w:rsid w:val="33CA38CE"/>
    <w:rsid w:val="34470052"/>
    <w:rsid w:val="34C55315"/>
    <w:rsid w:val="35714746"/>
    <w:rsid w:val="35CA7703"/>
    <w:rsid w:val="37386C54"/>
    <w:rsid w:val="37B7245C"/>
    <w:rsid w:val="37F91FB1"/>
    <w:rsid w:val="381260C4"/>
    <w:rsid w:val="381A19F2"/>
    <w:rsid w:val="38C45315"/>
    <w:rsid w:val="39513104"/>
    <w:rsid w:val="39983323"/>
    <w:rsid w:val="39BB1996"/>
    <w:rsid w:val="3A366DC1"/>
    <w:rsid w:val="3A5A08B5"/>
    <w:rsid w:val="3B23102C"/>
    <w:rsid w:val="3B97548F"/>
    <w:rsid w:val="3BB02335"/>
    <w:rsid w:val="3C69372C"/>
    <w:rsid w:val="3CE96503"/>
    <w:rsid w:val="3D694E77"/>
    <w:rsid w:val="3D6A795E"/>
    <w:rsid w:val="3DBA4175"/>
    <w:rsid w:val="3DFD76EB"/>
    <w:rsid w:val="3DFF5494"/>
    <w:rsid w:val="3EC84211"/>
    <w:rsid w:val="3F5D6B63"/>
    <w:rsid w:val="3F9738E4"/>
    <w:rsid w:val="3FF22098"/>
    <w:rsid w:val="405412B1"/>
    <w:rsid w:val="40BD51B0"/>
    <w:rsid w:val="4136343A"/>
    <w:rsid w:val="417530D5"/>
    <w:rsid w:val="41EA2122"/>
    <w:rsid w:val="4269128C"/>
    <w:rsid w:val="42C910A8"/>
    <w:rsid w:val="435A204D"/>
    <w:rsid w:val="43993A74"/>
    <w:rsid w:val="43CD51C7"/>
    <w:rsid w:val="44A8030E"/>
    <w:rsid w:val="44C95D4D"/>
    <w:rsid w:val="45F95D9F"/>
    <w:rsid w:val="464F0AEA"/>
    <w:rsid w:val="46B41FA9"/>
    <w:rsid w:val="470D1349"/>
    <w:rsid w:val="474D5189"/>
    <w:rsid w:val="494263AF"/>
    <w:rsid w:val="49B60A7B"/>
    <w:rsid w:val="49C66D3D"/>
    <w:rsid w:val="4B4E7897"/>
    <w:rsid w:val="4B5C0247"/>
    <w:rsid w:val="4B7F5814"/>
    <w:rsid w:val="4BF97DD1"/>
    <w:rsid w:val="4C3A12B7"/>
    <w:rsid w:val="4CAA6078"/>
    <w:rsid w:val="4CFF2296"/>
    <w:rsid w:val="4E3D3C30"/>
    <w:rsid w:val="4E89289B"/>
    <w:rsid w:val="4F42634C"/>
    <w:rsid w:val="4FA26D69"/>
    <w:rsid w:val="4FB73F54"/>
    <w:rsid w:val="502F4818"/>
    <w:rsid w:val="509D67D0"/>
    <w:rsid w:val="512A3E35"/>
    <w:rsid w:val="51AC22D6"/>
    <w:rsid w:val="51C517D1"/>
    <w:rsid w:val="52606C37"/>
    <w:rsid w:val="52A77F5F"/>
    <w:rsid w:val="52CA6EA2"/>
    <w:rsid w:val="53EC1D2A"/>
    <w:rsid w:val="53F513BE"/>
    <w:rsid w:val="544A53F9"/>
    <w:rsid w:val="544F6952"/>
    <w:rsid w:val="546B49DC"/>
    <w:rsid w:val="547B0D29"/>
    <w:rsid w:val="5493108A"/>
    <w:rsid w:val="54BB54BF"/>
    <w:rsid w:val="54C00DE0"/>
    <w:rsid w:val="54FA58A1"/>
    <w:rsid w:val="551E7D23"/>
    <w:rsid w:val="553B6EBD"/>
    <w:rsid w:val="55CC73D2"/>
    <w:rsid w:val="55D5176B"/>
    <w:rsid w:val="57203FDD"/>
    <w:rsid w:val="57B76D0C"/>
    <w:rsid w:val="57F16BD5"/>
    <w:rsid w:val="5856485E"/>
    <w:rsid w:val="587E502A"/>
    <w:rsid w:val="592179C3"/>
    <w:rsid w:val="5B215ACE"/>
    <w:rsid w:val="5B9A79C5"/>
    <w:rsid w:val="5CC02939"/>
    <w:rsid w:val="5D526D60"/>
    <w:rsid w:val="5D6B4D01"/>
    <w:rsid w:val="5DE241FF"/>
    <w:rsid w:val="5E063299"/>
    <w:rsid w:val="5E1C55F2"/>
    <w:rsid w:val="5E1E4B3E"/>
    <w:rsid w:val="5F6E7121"/>
    <w:rsid w:val="5FD42B18"/>
    <w:rsid w:val="5FE4210E"/>
    <w:rsid w:val="60034C1C"/>
    <w:rsid w:val="60285EA0"/>
    <w:rsid w:val="60754C13"/>
    <w:rsid w:val="60A64A45"/>
    <w:rsid w:val="610E1B80"/>
    <w:rsid w:val="61B168FB"/>
    <w:rsid w:val="627D529E"/>
    <w:rsid w:val="62D83CB7"/>
    <w:rsid w:val="62F96015"/>
    <w:rsid w:val="633223A9"/>
    <w:rsid w:val="6408331E"/>
    <w:rsid w:val="649019DA"/>
    <w:rsid w:val="64E50CD5"/>
    <w:rsid w:val="669C24AC"/>
    <w:rsid w:val="66C11F13"/>
    <w:rsid w:val="66C15722"/>
    <w:rsid w:val="6701149E"/>
    <w:rsid w:val="673D04F4"/>
    <w:rsid w:val="6772447A"/>
    <w:rsid w:val="68F63F17"/>
    <w:rsid w:val="690B08F1"/>
    <w:rsid w:val="695D5F23"/>
    <w:rsid w:val="6962410C"/>
    <w:rsid w:val="697F1B3E"/>
    <w:rsid w:val="6AE374B3"/>
    <w:rsid w:val="6B1C1C99"/>
    <w:rsid w:val="6B1C1EDE"/>
    <w:rsid w:val="6BD8291E"/>
    <w:rsid w:val="6BED592E"/>
    <w:rsid w:val="6E832D09"/>
    <w:rsid w:val="6E8931BB"/>
    <w:rsid w:val="6F136DCF"/>
    <w:rsid w:val="6F2A0EF1"/>
    <w:rsid w:val="702E4A5E"/>
    <w:rsid w:val="70473640"/>
    <w:rsid w:val="712A66B5"/>
    <w:rsid w:val="715904A9"/>
    <w:rsid w:val="716C7B3D"/>
    <w:rsid w:val="723713AC"/>
    <w:rsid w:val="728C1131"/>
    <w:rsid w:val="72A62040"/>
    <w:rsid w:val="74230CD8"/>
    <w:rsid w:val="74757D73"/>
    <w:rsid w:val="749F638C"/>
    <w:rsid w:val="750C60F3"/>
    <w:rsid w:val="75235A27"/>
    <w:rsid w:val="75897D86"/>
    <w:rsid w:val="75CE2F56"/>
    <w:rsid w:val="75F45394"/>
    <w:rsid w:val="763C778B"/>
    <w:rsid w:val="764D1B55"/>
    <w:rsid w:val="77743287"/>
    <w:rsid w:val="78A82663"/>
    <w:rsid w:val="78B62EAA"/>
    <w:rsid w:val="79F4064C"/>
    <w:rsid w:val="7A233DD2"/>
    <w:rsid w:val="7A330E7F"/>
    <w:rsid w:val="7A9975EB"/>
    <w:rsid w:val="7AED1AF4"/>
    <w:rsid w:val="7AF519AB"/>
    <w:rsid w:val="7B1325A7"/>
    <w:rsid w:val="7BF3536A"/>
    <w:rsid w:val="7CB44141"/>
    <w:rsid w:val="7DB77853"/>
    <w:rsid w:val="7E545CA5"/>
    <w:rsid w:val="7F64085D"/>
    <w:rsid w:val="7F9D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2250</Words>
  <Characters>13930</Characters>
  <Lines>464</Lines>
  <Paragraphs>120</Paragraphs>
  <TotalTime>154</TotalTime>
  <ScaleCrop>false</ScaleCrop>
  <LinksUpToDate>false</LinksUpToDate>
  <CharactersWithSpaces>16060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2024-01-31T13:51:00Z</dcterms:created>
  <dc:creator>aleksandar.pavlicevi</dc:creator>
  <cp:lastModifiedBy>WPS_1710147653</cp:lastModifiedBy>
  <cp:lastPrinted>2024-07-18T11:18:00Z</cp:lastPrinted>
  <dcterms:modified xsi:type="dcterms:W3CDTF">2024-09-16T10:31:43Z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7ECEF14725D9452A8B49B9149961F27A_13</vt:lpwstr>
  </property>
</Properties>
</file>