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C7055">
      <w:pPr>
        <w:jc w:val="right"/>
        <w:rPr>
          <w:rFonts w:ascii="Arial" w:hAnsi="Arial" w:cs="Arial"/>
          <w:b/>
          <w:color w:val="000000"/>
        </w:rPr>
      </w:pPr>
      <w:r>
        <w:rPr>
          <w:rFonts w:ascii="Arial" w:hAnsi="Arial" w:cs="Arial"/>
          <w:b/>
          <w:color w:val="000000"/>
        </w:rPr>
        <w:t xml:space="preserve">OBRAZAC 1  </w:t>
      </w:r>
    </w:p>
    <w:p w14:paraId="0DEE49DE">
      <w:pPr>
        <w:rPr>
          <w:rFonts w:ascii="Arial" w:hAnsi="Arial" w:cs="Arial"/>
          <w:color w:val="000000"/>
        </w:rPr>
      </w:pPr>
    </w:p>
    <w:p w14:paraId="09948D16">
      <w:pPr>
        <w:tabs>
          <w:tab w:val="left" w:pos="1701"/>
          <w:tab w:val="left" w:pos="4820"/>
        </w:tabs>
        <w:jc w:val="both"/>
        <w:rPr>
          <w:rFonts w:ascii="Arial" w:hAnsi="Arial" w:cs="Arial"/>
          <w:color w:val="000000"/>
        </w:rPr>
      </w:pPr>
      <w:r>
        <w:rPr>
          <w:rFonts w:ascii="Arial" w:hAnsi="Arial" w:cs="Arial"/>
          <w:color w:val="000000"/>
        </w:rPr>
        <w:t>Putevi d.o.o. Podgorica</w:t>
      </w:r>
    </w:p>
    <w:p w14:paraId="22F54AC1">
      <w:pPr>
        <w:tabs>
          <w:tab w:val="left" w:pos="1701"/>
          <w:tab w:val="left" w:pos="4820"/>
        </w:tabs>
        <w:jc w:val="both"/>
        <w:rPr>
          <w:rFonts w:ascii="Arial" w:hAnsi="Arial" w:cs="Arial"/>
          <w:lang w:val="sr-Latn-ME"/>
        </w:rPr>
      </w:pPr>
      <w:r>
        <w:rPr>
          <w:rFonts w:ascii="Arial" w:hAnsi="Arial" w:cs="Arial"/>
        </w:rPr>
        <w:t xml:space="preserve">Broj iz evidencije postupaka javnih nabavki: </w:t>
      </w:r>
      <w:r>
        <w:rPr>
          <w:rFonts w:ascii="Arial" w:hAnsi="Arial" w:cs="Arial"/>
          <w:lang w:val="sr-Latn-ME"/>
        </w:rPr>
        <w:t>48/24</w:t>
      </w:r>
    </w:p>
    <w:p w14:paraId="374185B6">
      <w:pPr>
        <w:jc w:val="both"/>
        <w:rPr>
          <w:rFonts w:ascii="Arial" w:hAnsi="Arial" w:cs="Arial"/>
          <w:color w:val="000000"/>
          <w:lang w:val="sr-Latn-ME"/>
        </w:rPr>
      </w:pPr>
      <w:r>
        <w:rPr>
          <w:rFonts w:ascii="Arial" w:hAnsi="Arial" w:cs="Arial"/>
          <w:color w:val="000000"/>
        </w:rPr>
        <w:t>Redni broj iz Plana javnih nabavki:</w:t>
      </w:r>
      <w:r>
        <w:rPr>
          <w:rFonts w:ascii="Arial" w:hAnsi="Arial" w:cs="Arial"/>
          <w:color w:val="000000"/>
          <w:lang w:val="sr-Latn-ME"/>
        </w:rPr>
        <w:t>96</w:t>
      </w:r>
    </w:p>
    <w:p w14:paraId="67B3686A">
      <w:pPr>
        <w:jc w:val="both"/>
        <w:rPr>
          <w:rFonts w:ascii="Arial" w:hAnsi="Arial" w:cs="Arial"/>
          <w:b/>
          <w:bCs/>
          <w:color w:val="000000"/>
        </w:rPr>
      </w:pPr>
      <w:r>
        <w:rPr>
          <w:rFonts w:ascii="Arial" w:hAnsi="Arial" w:cs="Arial"/>
          <w:color w:val="000000"/>
        </w:rPr>
        <w:t xml:space="preserve">Mjesto i datum: </w:t>
      </w:r>
      <w:r>
        <w:rPr>
          <w:rFonts w:ascii="Arial" w:hAnsi="Arial" w:cs="Arial"/>
          <w:color w:val="000000"/>
          <w:lang w:val="sr-Latn-ME"/>
        </w:rPr>
        <w:t>07.10.2024</w:t>
      </w:r>
      <w:r>
        <w:rPr>
          <w:rFonts w:ascii="Arial" w:hAnsi="Arial" w:cs="Arial"/>
          <w:color w:val="000000"/>
        </w:rPr>
        <w:t xml:space="preserve"> godine</w:t>
      </w:r>
    </w:p>
    <w:p w14:paraId="68B9876B">
      <w:pPr>
        <w:rPr>
          <w:rFonts w:ascii="Arial" w:hAnsi="Arial" w:cs="Arial"/>
        </w:rPr>
      </w:pPr>
    </w:p>
    <w:p w14:paraId="308CF6B4">
      <w:pPr>
        <w:rPr>
          <w:rFonts w:ascii="Arial" w:hAnsi="Arial" w:cs="Arial"/>
        </w:rPr>
      </w:pPr>
    </w:p>
    <w:p w14:paraId="2AE12146">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xml:space="preserve">, 03/23,011/23), </w:t>
      </w:r>
      <w:r>
        <w:rPr>
          <w:rFonts w:ascii="Arial" w:hAnsi="Arial" w:cs="Arial"/>
        </w:rPr>
        <w:t>Putevi d.o.o. Podgorica objavljuje</w:t>
      </w:r>
      <w:r>
        <w:rPr>
          <w:rFonts w:ascii="Arial" w:hAnsi="Arial" w:cs="Arial"/>
          <w:b/>
          <w:bCs/>
          <w:color w:val="000000"/>
        </w:rPr>
        <w:t xml:space="preserve">        </w:t>
      </w:r>
    </w:p>
    <w:p w14:paraId="19C631A8">
      <w:pPr>
        <w:tabs>
          <w:tab w:val="left" w:pos="1276"/>
          <w:tab w:val="left" w:pos="3261"/>
        </w:tabs>
        <w:jc w:val="both"/>
        <w:rPr>
          <w:rFonts w:ascii="Arial" w:hAnsi="Arial" w:cs="Arial"/>
          <w:b/>
          <w:bCs/>
          <w:color w:val="000000"/>
        </w:rPr>
      </w:pPr>
    </w:p>
    <w:p w14:paraId="636BA87C">
      <w:pPr>
        <w:tabs>
          <w:tab w:val="left" w:pos="1276"/>
          <w:tab w:val="left" w:pos="3261"/>
        </w:tabs>
        <w:jc w:val="both"/>
        <w:rPr>
          <w:rFonts w:ascii="Arial" w:hAnsi="Arial" w:cs="Arial"/>
          <w:b/>
          <w:bCs/>
          <w:color w:val="000000"/>
        </w:rPr>
      </w:pPr>
    </w:p>
    <w:p w14:paraId="342B8E90">
      <w:pPr>
        <w:tabs>
          <w:tab w:val="left" w:pos="1276"/>
          <w:tab w:val="left" w:pos="3261"/>
        </w:tabs>
        <w:jc w:val="both"/>
        <w:rPr>
          <w:rFonts w:ascii="Arial" w:hAnsi="Arial" w:cs="Arial"/>
          <w:b/>
          <w:bCs/>
          <w:color w:val="000000"/>
        </w:rPr>
      </w:pPr>
    </w:p>
    <w:p w14:paraId="06090B46">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14:paraId="2402318E">
      <w:pPr>
        <w:keepNext/>
        <w:jc w:val="center"/>
        <w:outlineLvl w:val="0"/>
        <w:rPr>
          <w:rFonts w:ascii="Arial" w:hAnsi="Arial" w:cs="Arial"/>
          <w:b/>
          <w:bCs/>
          <w:color w:val="000000"/>
        </w:rPr>
      </w:pPr>
    </w:p>
    <w:p w14:paraId="0333E61D">
      <w:pPr>
        <w:jc w:val="center"/>
        <w:rPr>
          <w:rFonts w:ascii="Arial" w:hAnsi="Arial" w:cs="Arial"/>
          <w:b/>
          <w:bCs/>
          <w:color w:val="000000"/>
        </w:rPr>
      </w:pPr>
      <w:r>
        <w:rPr>
          <w:rFonts w:ascii="Arial" w:hAnsi="Arial" w:cs="Arial"/>
          <w:b/>
          <w:bCs/>
          <w:color w:val="000000"/>
        </w:rPr>
        <w:t>TENDERSKU DOKUMENTACIJU</w:t>
      </w:r>
    </w:p>
    <w:p w14:paraId="790F8B9F">
      <w:pPr>
        <w:jc w:val="center"/>
        <w:rPr>
          <w:rFonts w:ascii="Arial" w:hAnsi="Arial" w:cs="Arial"/>
          <w:b/>
          <w:bCs/>
          <w:color w:val="000000"/>
        </w:rPr>
      </w:pPr>
      <w:r>
        <w:rPr>
          <w:rFonts w:ascii="Arial" w:hAnsi="Arial" w:cs="Arial"/>
          <w:b/>
          <w:bCs/>
          <w:color w:val="000000"/>
        </w:rPr>
        <w:t>ZA OTVORENI POSTUPAK JAVNE NABAVKE</w:t>
      </w:r>
    </w:p>
    <w:p w14:paraId="646C4F98">
      <w:pPr>
        <w:jc w:val="center"/>
        <w:rPr>
          <w:rFonts w:ascii="Arial" w:hAnsi="Arial" w:cs="Arial"/>
          <w:b/>
          <w:bCs/>
          <w:color w:val="000000"/>
        </w:rPr>
      </w:pPr>
    </w:p>
    <w:p w14:paraId="027FC6E6">
      <w:pPr>
        <w:jc w:val="center"/>
        <w:rPr>
          <w:rFonts w:ascii="Arial" w:hAnsi="Arial" w:cs="Arial"/>
        </w:rPr>
      </w:pPr>
      <w:r>
        <w:rPr>
          <w:rFonts w:ascii="Arial" w:hAnsi="Arial" w:cs="Arial"/>
          <w:color w:val="000000"/>
        </w:rPr>
        <w:t>za nabavku robe- Nabavka i isporuka bitumena</w:t>
      </w:r>
    </w:p>
    <w:p w14:paraId="579AA399">
      <w:pPr>
        <w:jc w:val="both"/>
        <w:rPr>
          <w:rFonts w:ascii="Arial" w:hAnsi="Arial" w:cs="Arial"/>
          <w:color w:val="000000"/>
        </w:rPr>
      </w:pPr>
    </w:p>
    <w:p w14:paraId="59108841">
      <w:pPr>
        <w:jc w:val="both"/>
        <w:rPr>
          <w:rFonts w:ascii="Arial" w:hAnsi="Arial" w:cs="Arial"/>
          <w:color w:val="000000"/>
        </w:rPr>
      </w:pPr>
    </w:p>
    <w:p w14:paraId="7AFE1F9F">
      <w:pPr>
        <w:jc w:val="both"/>
        <w:rPr>
          <w:rFonts w:ascii="Arial" w:hAnsi="Arial" w:cs="Arial"/>
          <w:color w:val="000000"/>
        </w:rPr>
      </w:pPr>
      <w:r>
        <w:rPr>
          <w:rFonts w:ascii="Arial" w:hAnsi="Arial" w:cs="Arial"/>
          <w:color w:val="000000"/>
        </w:rPr>
        <w:t>Predmet nabavke se nabavlja:</w:t>
      </w:r>
    </w:p>
    <w:p w14:paraId="02100E34">
      <w:pPr>
        <w:jc w:val="both"/>
        <w:rPr>
          <w:rFonts w:ascii="Arial" w:hAnsi="Arial" w:cs="Arial"/>
          <w:color w:val="000000"/>
        </w:rPr>
      </w:pPr>
    </w:p>
    <w:p w14:paraId="3CFD999D">
      <w:pPr>
        <w:jc w:val="both"/>
        <w:rPr>
          <w:rFonts w:ascii="Arial" w:hAnsi="Arial" w:cs="Arial"/>
          <w:color w:val="000000"/>
          <w:lang w:val="sr-Latn-ME"/>
        </w:rPr>
      </w:pPr>
      <w:r>
        <w:rPr>
          <w:rFonts w:ascii="Arial" w:hAnsi="Arial" w:cs="Arial"/>
          <w:color w:val="000000"/>
        </w:rPr>
        <w:sym w:font="Wingdings" w:char="00A8"/>
      </w:r>
      <w:r>
        <w:rPr>
          <w:rFonts w:ascii="Arial" w:hAnsi="Arial" w:cs="Arial"/>
          <w:color w:val="000000"/>
        </w:rPr>
        <w:t xml:space="preserve"> </w:t>
      </w:r>
      <w:r>
        <w:rPr>
          <w:rFonts w:ascii="Arial" w:hAnsi="Arial" w:cs="Arial"/>
          <w:color w:val="000000"/>
          <w:lang w:val="sr-Latn-ME"/>
        </w:rPr>
        <w:t>kao cjelina</w:t>
      </w:r>
    </w:p>
    <w:p w14:paraId="67FAE2C5">
      <w:pPr>
        <w:rPr>
          <w:rFonts w:ascii="Arial" w:hAnsi="Arial" w:cs="Arial"/>
          <w:color w:val="000000"/>
        </w:rPr>
      </w:pPr>
    </w:p>
    <w:p w14:paraId="1EDA7C08">
      <w:pPr>
        <w:rPr>
          <w:rFonts w:ascii="Arial" w:hAnsi="Arial" w:cs="Arial"/>
          <w:color w:val="000000"/>
        </w:rPr>
      </w:pPr>
    </w:p>
    <w:p w14:paraId="3ED4F7ED">
      <w:pPr>
        <w:rPr>
          <w:rFonts w:ascii="Arial" w:hAnsi="Arial" w:cs="Arial"/>
          <w:color w:val="000000"/>
        </w:rPr>
      </w:pPr>
    </w:p>
    <w:p w14:paraId="0B3821B5">
      <w:pPr>
        <w:rPr>
          <w:rFonts w:ascii="Arial" w:hAnsi="Arial" w:cs="Arial"/>
          <w:color w:val="000000"/>
        </w:rPr>
      </w:pPr>
    </w:p>
    <w:p w14:paraId="0371D1BB">
      <w:pPr>
        <w:rPr>
          <w:rFonts w:ascii="Arial" w:hAnsi="Arial" w:cs="Arial"/>
          <w:color w:val="000000"/>
        </w:rPr>
      </w:pPr>
    </w:p>
    <w:p w14:paraId="4087B685">
      <w:pPr>
        <w:rPr>
          <w:rFonts w:ascii="Arial" w:hAnsi="Arial" w:cs="Arial"/>
          <w:color w:val="000000"/>
        </w:rPr>
      </w:pPr>
    </w:p>
    <w:p w14:paraId="3171E003">
      <w:pPr>
        <w:rPr>
          <w:rFonts w:ascii="Arial" w:hAnsi="Arial" w:cs="Arial"/>
          <w:color w:val="000000"/>
        </w:rPr>
      </w:pPr>
    </w:p>
    <w:p w14:paraId="78ABA8CE">
      <w:pPr>
        <w:rPr>
          <w:rFonts w:ascii="Arial" w:hAnsi="Arial" w:cs="Arial"/>
          <w:color w:val="000000"/>
        </w:rPr>
      </w:pPr>
    </w:p>
    <w:p w14:paraId="6C77DF3E">
      <w:pPr>
        <w:rPr>
          <w:rFonts w:ascii="Arial" w:hAnsi="Arial" w:cs="Arial"/>
          <w:color w:val="000000"/>
        </w:rPr>
      </w:pPr>
    </w:p>
    <w:p w14:paraId="4DBC49D4">
      <w:pPr>
        <w:rPr>
          <w:rFonts w:ascii="Arial" w:hAnsi="Arial" w:cs="Arial"/>
          <w:color w:val="000000"/>
        </w:rPr>
      </w:pPr>
    </w:p>
    <w:p w14:paraId="4B69310B">
      <w:pPr>
        <w:rPr>
          <w:rFonts w:ascii="Arial" w:hAnsi="Arial" w:cs="Arial"/>
          <w:color w:val="000000"/>
        </w:rPr>
      </w:pPr>
    </w:p>
    <w:p w14:paraId="1D8B4379">
      <w:pPr>
        <w:rPr>
          <w:rFonts w:ascii="Arial" w:hAnsi="Arial" w:cs="Arial"/>
          <w:color w:val="000000"/>
        </w:rPr>
      </w:pPr>
    </w:p>
    <w:p w14:paraId="02A82F95">
      <w:pPr>
        <w:rPr>
          <w:rFonts w:ascii="Arial" w:hAnsi="Arial" w:cs="Arial"/>
          <w:color w:val="000000"/>
        </w:rPr>
      </w:pPr>
    </w:p>
    <w:p w14:paraId="09362A91">
      <w:pPr>
        <w:rPr>
          <w:rFonts w:ascii="Arial" w:hAnsi="Arial" w:cs="Arial"/>
          <w:color w:val="000000"/>
        </w:rPr>
      </w:pPr>
    </w:p>
    <w:p w14:paraId="7E0BC26F">
      <w:pPr>
        <w:rPr>
          <w:rFonts w:ascii="Arial" w:hAnsi="Arial" w:cs="Arial"/>
          <w:color w:val="000000"/>
        </w:rPr>
      </w:pPr>
    </w:p>
    <w:p w14:paraId="242F1148">
      <w:pPr>
        <w:rPr>
          <w:rFonts w:ascii="Arial" w:hAnsi="Arial" w:cs="Arial"/>
          <w:color w:val="000000"/>
        </w:rPr>
      </w:pPr>
    </w:p>
    <w:p w14:paraId="3CB6B02D">
      <w:pPr>
        <w:rPr>
          <w:rFonts w:ascii="Arial" w:hAnsi="Arial" w:cs="Arial"/>
          <w:color w:val="000000"/>
        </w:rPr>
      </w:pPr>
    </w:p>
    <w:p w14:paraId="479190F4">
      <w:pPr>
        <w:rPr>
          <w:rFonts w:ascii="Arial" w:hAnsi="Arial" w:cs="Arial"/>
          <w:color w:val="000000"/>
        </w:rPr>
      </w:pPr>
    </w:p>
    <w:p w14:paraId="3672BBFB">
      <w:pPr>
        <w:rPr>
          <w:rFonts w:ascii="Arial" w:hAnsi="Arial" w:cs="Arial"/>
          <w:color w:val="000000"/>
        </w:rPr>
      </w:pPr>
    </w:p>
    <w:p w14:paraId="6AA24FC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14:paraId="6FDB0C42">
      <w:pPr>
        <w:rPr>
          <w:rFonts w:ascii="Arial" w:hAnsi="Arial" w:cs="Arial"/>
          <w:b/>
          <w:bCs/>
          <w:color w:val="000000"/>
        </w:rPr>
      </w:pPr>
      <w:r>
        <w:rPr>
          <w:rFonts w:ascii="Arial" w:hAnsi="Arial" w:cs="Arial"/>
          <w:b/>
          <w:bCs/>
          <w:color w:val="000000"/>
        </w:rPr>
        <w:tab/>
      </w:r>
    </w:p>
    <w:p w14:paraId="41723C0F">
      <w:pPr>
        <w:ind w:left="360"/>
        <w:jc w:val="center"/>
        <w:rPr>
          <w:rFonts w:ascii="Arial" w:hAnsi="Arial" w:cs="Arial"/>
          <w:b/>
          <w:bCs/>
          <w:color w:val="000000"/>
        </w:rPr>
      </w:pPr>
    </w:p>
    <w:p w14:paraId="5676DD7F">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14:paraId="291C2702">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14:paraId="38113159">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14:paraId="069EF0F6">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14:paraId="1A8EC7B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14:paraId="7291643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14:paraId="4EBF7C68">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14:paraId="2314928D">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14:paraId="6746ECDC">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14:paraId="26F99242">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14:paraId="4F6CBBC0">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14:paraId="196BA36C">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14:paraId="51692493">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14:paraId="49ACFA09">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14:paraId="0C0114EC">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14:paraId="208C598F">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14:paraId="435482C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14:paraId="1C2A4FEF">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14:paraId="1E49416B">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14:paraId="7B5F652F">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14:paraId="15B9A893">
      <w:pPr>
        <w:rPr>
          <w:rFonts w:ascii="Arial" w:hAnsi="Arial" w:eastAsia="Calibri" w:cs="Arial"/>
          <w:color w:val="000000"/>
        </w:rPr>
      </w:pPr>
    </w:p>
    <w:p w14:paraId="0E84C37B">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14:paraId="164C0261">
      <w:pPr>
        <w:rPr>
          <w:rFonts w:ascii="Arial" w:hAnsi="Arial" w:eastAsia="Calibri" w:cs="Arial"/>
          <w:color w:val="000000"/>
        </w:rPr>
      </w:pPr>
    </w:p>
    <w:p w14:paraId="7D03FBA8">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14:paraId="1CDA539F">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14:paraId="7EC6AA56">
      <w:pPr>
        <w:rPr>
          <w:rFonts w:ascii="Arial" w:hAnsi="Arial" w:eastAsia="Calibri" w:cs="Arial"/>
          <w:color w:val="000000"/>
        </w:rPr>
      </w:pPr>
    </w:p>
    <w:p w14:paraId="2681B28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14:paraId="58ABE19A">
      <w:pPr>
        <w:jc w:val="both"/>
        <w:rPr>
          <w:rFonts w:ascii="Arial" w:hAnsi="Arial" w:cs="Arial"/>
          <w:b/>
          <w:bCs/>
          <w:color w:val="000000"/>
        </w:rPr>
      </w:pPr>
    </w:p>
    <w:p w14:paraId="54FABFFD">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14:paraId="32A42E18">
      <w:pPr>
        <w:spacing w:after="160" w:line="259" w:lineRule="auto"/>
        <w:jc w:val="both"/>
        <w:rPr>
          <w:rFonts w:ascii="Arial" w:hAnsi="Arial" w:eastAsia="Calibri" w:cs="Arial"/>
          <w:color w:val="000000"/>
        </w:rPr>
      </w:pPr>
    </w:p>
    <w:p w14:paraId="5F8918BF">
      <w:pPr>
        <w:spacing w:after="160" w:line="259" w:lineRule="auto"/>
        <w:jc w:val="both"/>
        <w:rPr>
          <w:rFonts w:ascii="Arial" w:hAnsi="Arial" w:eastAsia="Calibri" w:cs="Arial"/>
          <w:b/>
          <w:bCs/>
          <w:color w:val="000000"/>
        </w:rPr>
      </w:pPr>
      <w:r>
        <w:rPr>
          <w:rFonts w:ascii="Arial" w:hAnsi="Arial" w:eastAsia="Calibri" w:cs="Arial"/>
          <w:color w:val="000000"/>
        </w:rPr>
        <w:sym w:font="Wingdings" w:char="F0A8"/>
      </w:r>
      <w:r>
        <w:rPr>
          <w:rFonts w:ascii="Arial" w:hAnsi="Arial" w:eastAsia="Calibri" w:cs="Arial"/>
          <w:color w:val="000000"/>
        </w:rPr>
        <w:t xml:space="preserve"> </w:t>
      </w:r>
      <w:r>
        <w:rPr>
          <w:rFonts w:ascii="Arial" w:hAnsi="Arial" w:eastAsia="Calibri" w:cs="Arial"/>
          <w:b/>
          <w:bCs/>
          <w:color w:val="000000"/>
        </w:rPr>
        <w:t>Procijenjena vrijednost predmeta nabavke bez zaključivanja okvirnog sporazuma</w:t>
      </w:r>
      <w:r>
        <w:rPr>
          <w:rFonts w:ascii="Arial" w:hAnsi="Arial" w:eastAsia="Calibri" w:cs="Arial"/>
          <w:color w:val="000000"/>
        </w:rPr>
        <w:t>:</w:t>
      </w:r>
    </w:p>
    <w:p w14:paraId="298742E9">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kao cjeline je </w:t>
      </w:r>
      <w:r>
        <w:rPr>
          <w:rFonts w:ascii="Arial" w:hAnsi="Arial" w:cs="Arial"/>
          <w:color w:val="000000"/>
          <w:sz w:val="22"/>
          <w:szCs w:val="22"/>
          <w:lang w:val="sr-Latn-ME"/>
        </w:rPr>
        <w:t>366.100,00eura bez PDV-a</w:t>
      </w:r>
    </w:p>
    <w:p w14:paraId="451EB139">
      <w:pPr>
        <w:jc w:val="both"/>
        <w:rPr>
          <w:rFonts w:ascii="Arial" w:hAnsi="Arial" w:cs="Arial"/>
          <w:color w:val="000000"/>
        </w:rPr>
      </w:pPr>
    </w:p>
    <w:p w14:paraId="4581A39C">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14:paraId="196E7197">
      <w:pPr>
        <w:jc w:val="both"/>
        <w:rPr>
          <w:rFonts w:ascii="Arial" w:hAnsi="Arial" w:cs="Arial"/>
          <w:color w:val="000000"/>
        </w:rPr>
      </w:pPr>
    </w:p>
    <w:p w14:paraId="3D086022">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14:paraId="055CCDA0">
      <w:pPr>
        <w:jc w:val="both"/>
        <w:rPr>
          <w:rFonts w:ascii="Arial" w:hAnsi="Arial" w:cs="Arial"/>
          <w:color w:val="000000"/>
        </w:rPr>
      </w:pPr>
    </w:p>
    <w:p w14:paraId="54491B5C">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13AB8705">
      <w:pPr>
        <w:jc w:val="both"/>
        <w:rPr>
          <w:rFonts w:ascii="Arial" w:hAnsi="Arial" w:cs="Arial"/>
          <w:color w:val="000000"/>
        </w:rPr>
      </w:pPr>
    </w:p>
    <w:p w14:paraId="36678230">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3BFA4E32">
      <w:pPr>
        <w:jc w:val="both"/>
        <w:rPr>
          <w:rFonts w:ascii="Arial" w:hAnsi="Arial" w:cs="Arial"/>
          <w:color w:val="000000"/>
        </w:rPr>
      </w:pPr>
    </w:p>
    <w:p w14:paraId="0C969714">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14:paraId="082E959D">
      <w:pPr>
        <w:jc w:val="both"/>
        <w:rPr>
          <w:rFonts w:ascii="Arial" w:hAnsi="Arial" w:cs="Arial"/>
          <w:color w:val="000000"/>
        </w:rPr>
      </w:pPr>
    </w:p>
    <w:p w14:paraId="7E2E561D">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52AA8B93">
      <w:pPr>
        <w:jc w:val="both"/>
        <w:rPr>
          <w:rFonts w:ascii="Arial" w:hAnsi="Arial" w:cs="Arial"/>
        </w:rPr>
      </w:pPr>
    </w:p>
    <w:p w14:paraId="73B955C0">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14:paraId="281B8E4D">
      <w:pPr>
        <w:jc w:val="both"/>
        <w:rPr>
          <w:rFonts w:ascii="Arial" w:hAnsi="Arial" w:cs="Arial"/>
        </w:rPr>
      </w:pPr>
    </w:p>
    <w:p w14:paraId="442EFB03">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14:paraId="5960702A">
      <w:pPr>
        <w:jc w:val="both"/>
        <w:rPr>
          <w:rFonts w:ascii="Arial" w:hAnsi="Arial" w:cs="Arial"/>
        </w:rPr>
      </w:pPr>
    </w:p>
    <w:p w14:paraId="63BBDF6F">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14:paraId="39779FE8">
      <w:pPr>
        <w:jc w:val="both"/>
        <w:rPr>
          <w:rFonts w:ascii="Arial" w:hAnsi="Arial" w:cs="Arial"/>
          <w:color w:val="222A35"/>
        </w:rPr>
      </w:pPr>
    </w:p>
    <w:p w14:paraId="3D3E676A">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14:paraId="1E122913">
      <w:pPr>
        <w:jc w:val="both"/>
        <w:rPr>
          <w:rFonts w:ascii="Arial" w:hAnsi="Arial" w:cs="Arial"/>
        </w:rPr>
      </w:pPr>
    </w:p>
    <w:p w14:paraId="39BE7008">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14:paraId="59DCAA3D">
      <w:pPr>
        <w:jc w:val="both"/>
        <w:rPr>
          <w:rFonts w:ascii="Arial" w:hAnsi="Arial" w:cs="Arial"/>
          <w:color w:val="FF0000"/>
        </w:rPr>
      </w:pPr>
    </w:p>
    <w:p w14:paraId="017BBD02">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14:paraId="030E96D9">
      <w:pPr>
        <w:jc w:val="both"/>
        <w:rPr>
          <w:rFonts w:ascii="Arial" w:hAnsi="Arial" w:cs="Arial"/>
          <w:color w:val="222A35"/>
        </w:rPr>
      </w:pPr>
    </w:p>
    <w:p w14:paraId="61BDC13F">
      <w:pPr>
        <w:jc w:val="both"/>
        <w:rPr>
          <w:rFonts w:ascii="Arial" w:hAnsi="Arial" w:cs="Arial"/>
          <w:color w:val="222A35"/>
        </w:rPr>
      </w:pPr>
      <w:r>
        <w:rPr>
          <w:rFonts w:ascii="Arial" w:hAnsi="Arial" w:cs="Arial"/>
          <w:b/>
          <w:color w:val="000000"/>
          <w:u w:val="single"/>
        </w:rPr>
        <w:t>Nije primjenivo.</w:t>
      </w:r>
    </w:p>
    <w:p w14:paraId="47AB7EFD">
      <w:pPr>
        <w:jc w:val="both"/>
        <w:rPr>
          <w:rFonts w:ascii="Arial" w:hAnsi="Arial" w:cs="Arial"/>
          <w:color w:val="222A35"/>
        </w:rPr>
      </w:pPr>
    </w:p>
    <w:p w14:paraId="19338D20">
      <w:pPr>
        <w:jc w:val="both"/>
        <w:rPr>
          <w:rFonts w:ascii="Arial" w:hAnsi="Arial" w:cs="Arial"/>
          <w:color w:val="000000"/>
        </w:rPr>
      </w:pPr>
    </w:p>
    <w:p w14:paraId="69B9B69A">
      <w:pPr>
        <w:jc w:val="both"/>
        <w:rPr>
          <w:rFonts w:ascii="Arial" w:hAnsi="Arial" w:cs="Arial"/>
          <w:b/>
          <w:bCs/>
          <w:color w:val="FF0000"/>
        </w:rPr>
      </w:pPr>
    </w:p>
    <w:p w14:paraId="149F11B5">
      <w:pPr>
        <w:jc w:val="both"/>
        <w:rPr>
          <w:rFonts w:ascii="Arial" w:hAnsi="Arial" w:cs="Arial"/>
          <w:b/>
          <w:bCs/>
          <w:color w:val="FF0000"/>
        </w:rPr>
      </w:pPr>
    </w:p>
    <w:p w14:paraId="3577057A">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14:paraId="3219E00E">
      <w:pPr>
        <w:jc w:val="both"/>
        <w:rPr>
          <w:rFonts w:ascii="Arial" w:hAnsi="Arial" w:cs="Arial"/>
          <w:b/>
          <w:bCs/>
          <w:color w:val="FF0000"/>
        </w:rPr>
      </w:pPr>
    </w:p>
    <w:p w14:paraId="25B53E8C">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352D42F2">
      <w:pPr>
        <w:jc w:val="both"/>
        <w:rPr>
          <w:rFonts w:ascii="Arial" w:hAnsi="Arial" w:cs="Arial"/>
          <w:b/>
          <w:bCs/>
          <w:color w:val="FF0000"/>
        </w:rPr>
      </w:pPr>
    </w:p>
    <w:p w14:paraId="246E1FB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14:paraId="2FC2CB14">
      <w:pPr>
        <w:jc w:val="both"/>
        <w:rPr>
          <w:rFonts w:ascii="Arial" w:hAnsi="Arial" w:cs="Arial"/>
          <w:bCs/>
          <w:color w:val="FF0000"/>
        </w:rPr>
      </w:pPr>
    </w:p>
    <w:p w14:paraId="5EF588D1">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14:paraId="0C8EAFDE">
      <w:pPr>
        <w:jc w:val="both"/>
        <w:rPr>
          <w:rFonts w:ascii="Arial" w:hAnsi="Arial" w:cs="Arial"/>
          <w:bCs/>
          <w:color w:val="FF0000"/>
        </w:rPr>
      </w:pPr>
    </w:p>
    <w:p w14:paraId="58FD876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14:paraId="113F62C4">
      <w:pPr>
        <w:jc w:val="both"/>
        <w:rPr>
          <w:rFonts w:ascii="Arial" w:hAnsi="Arial" w:cs="Arial"/>
        </w:rPr>
      </w:pPr>
    </w:p>
    <w:p w14:paraId="47BCBA77">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2E4A4917">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72E2B35F">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7E08304E">
      <w:pPr>
        <w:numPr>
          <w:ilvl w:val="0"/>
          <w:numId w:val="6"/>
        </w:numPr>
        <w:rPr>
          <w:rFonts w:ascii="Arial" w:hAnsi="Arial" w:cs="Arial"/>
          <w:lang w:val="sr-Latn-ME"/>
        </w:rPr>
      </w:pPr>
      <w:r>
        <w:rPr>
          <w:rFonts w:ascii="Arial" w:hAnsi="Arial" w:cs="Arial"/>
          <w:lang w:val="sr-Latn-ME"/>
        </w:rPr>
        <w:t>ne ispunjava uslov iz člana 99 ovog zakona;</w:t>
      </w:r>
    </w:p>
    <w:p w14:paraId="1B3216A6">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B9BB0F3">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4EE04187">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0C3EBD93">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5DFB6899">
      <w:pPr>
        <w:numPr>
          <w:ilvl w:val="0"/>
          <w:numId w:val="6"/>
        </w:numPr>
        <w:rPr>
          <w:rFonts w:ascii="Arial" w:hAnsi="Arial" w:cs="Arial"/>
          <w:lang w:val="sr-Latn-ME"/>
        </w:rPr>
      </w:pPr>
      <w:r>
        <w:rPr>
          <w:rFonts w:ascii="Arial" w:hAnsi="Arial" w:cs="Arial"/>
          <w:lang w:val="sr-Latn-ME"/>
        </w:rPr>
        <w:t>postoji drugi razlog propisan ovim zakonom.</w:t>
      </w:r>
    </w:p>
    <w:p w14:paraId="10E8984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14:paraId="462624A5">
      <w:pPr>
        <w:jc w:val="both"/>
        <w:rPr>
          <w:rFonts w:ascii="Arial" w:hAnsi="Arial" w:cs="Arial"/>
          <w:color w:val="000000"/>
        </w:rPr>
      </w:pPr>
    </w:p>
    <w:p w14:paraId="4058B3C5">
      <w:pPr>
        <w:jc w:val="both"/>
        <w:rPr>
          <w:rFonts w:ascii="Arial" w:hAnsi="Arial" w:cs="Arial"/>
          <w:color w:val="000000"/>
        </w:rPr>
      </w:pPr>
      <w:r>
        <w:rPr>
          <w:rFonts w:ascii="Arial" w:hAnsi="Arial" w:cs="Arial"/>
          <w:color w:val="000000"/>
        </w:rPr>
        <w:t>Ponuđač čija ponuda bude izabrana kao najpovoljnija je dužan da uz potpisan ugovor o javnoj nabavci dostavi naručiocu:</w:t>
      </w:r>
    </w:p>
    <w:p w14:paraId="25F560A3">
      <w:pPr>
        <w:jc w:val="both"/>
        <w:rPr>
          <w:rFonts w:ascii="Arial" w:hAnsi="Arial" w:cs="Arial"/>
        </w:rPr>
      </w:pPr>
      <w:r>
        <w:rPr>
          <w:rFonts w:ascii="Arial" w:hAnsi="Arial" w:cs="Arial"/>
          <w:color w:val="000000"/>
        </w:rPr>
        <w:sym w:font="Wingdings" w:char="F0A8"/>
      </w:r>
      <w:r>
        <w:rPr>
          <w:rFonts w:ascii="Arial" w:hAnsi="Arial" w:cs="Arial"/>
          <w:color w:val="000000"/>
        </w:rPr>
        <w:t xml:space="preserve"> </w:t>
      </w:r>
      <w:r>
        <w:rPr>
          <w:rFonts w:ascii="Arial" w:hAnsi="Arial" w:cs="Arial"/>
        </w:rPr>
        <w:t>garanciju za dobro izvršenje ugovora ako su potpisnici dužni da ga izvršavaju</w:t>
      </w:r>
      <w:r>
        <w:rPr>
          <w:rFonts w:ascii="Arial" w:hAnsi="Arial" w:cs="Arial"/>
          <w:vertAlign w:val="superscript"/>
        </w:rPr>
        <w:footnoteReference w:id="6"/>
      </w:r>
      <w:r>
        <w:rPr>
          <w:rFonts w:ascii="Arial" w:hAnsi="Arial" w:cs="Arial"/>
        </w:rPr>
        <w:t xml:space="preserve">, za slučaj povrede ugovorenih obaveza </w:t>
      </w:r>
      <w:r>
        <w:rPr>
          <w:rFonts w:ascii="Arial" w:hAnsi="Arial" w:cs="Arial"/>
          <w:color w:val="000000"/>
        </w:rPr>
        <w:t>u iznosu od 10% od vrijednosti ugovora</w:t>
      </w:r>
      <w:r>
        <w:rPr>
          <w:rFonts w:ascii="Arial" w:hAnsi="Arial" w:cs="Arial"/>
          <w:vertAlign w:val="superscript"/>
        </w:rPr>
        <w:footnoteReference w:id="7"/>
      </w:r>
      <w:r>
        <w:rPr>
          <w:rFonts w:ascii="Arial" w:hAnsi="Arial" w:cs="Arial"/>
        </w:rPr>
        <w:t xml:space="preserve"> </w:t>
      </w:r>
    </w:p>
    <w:p w14:paraId="51891F6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bookmarkStart w:id="6" w:name="_Toc62730559"/>
      <w:r>
        <w:rPr>
          <w:rFonts w:ascii="Arial" w:hAnsi="Arial" w:cs="Arial"/>
          <w:b/>
        </w:rPr>
        <w:t>METODOLOGIJA VREDNOVANJA PONUDA</w:t>
      </w:r>
      <w:bookmarkEnd w:id="6"/>
    </w:p>
    <w:p w14:paraId="1486E2F4">
      <w:pPr>
        <w:rPr>
          <w:rFonts w:ascii="Arial" w:hAnsi="Arial" w:cs="Arial"/>
        </w:rPr>
      </w:pPr>
    </w:p>
    <w:p w14:paraId="15BD5C05">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8"/>
      </w:r>
      <w:r>
        <w:rPr>
          <w:rFonts w:ascii="Arial" w:hAnsi="Arial" w:cs="Arial"/>
        </w:rPr>
        <w:t xml:space="preserve">: </w:t>
      </w:r>
    </w:p>
    <w:p w14:paraId="1C7FFA32">
      <w:pPr>
        <w:rPr>
          <w:rFonts w:ascii="Arial" w:hAnsi="Arial" w:cs="Arial"/>
        </w:rPr>
      </w:pPr>
      <w:r>
        <w:rPr>
          <w:rFonts w:ascii="Arial" w:hAnsi="Arial" w:cs="Arial"/>
          <w:color w:val="000000"/>
        </w:rPr>
        <w:sym w:font="Wingdings" w:char="F0A8"/>
      </w:r>
      <w:r>
        <w:rPr>
          <w:rFonts w:ascii="Arial" w:hAnsi="Arial" w:cs="Arial"/>
          <w:color w:val="000000"/>
        </w:rPr>
        <w:t xml:space="preserve"> </w:t>
      </w:r>
      <w:r>
        <w:rPr>
          <w:rFonts w:ascii="Arial" w:hAnsi="Arial" w:cs="Arial"/>
        </w:rPr>
        <w:t xml:space="preserve">odnos cijene i kvaliteta </w:t>
      </w:r>
    </w:p>
    <w:p w14:paraId="74AE037D">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14:paraId="52C8BC82">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Naručilac se opredijelio za vrednovanje ponuda po kriterijumu odnos cijene i kvaliteta, koje će se vršiti na osnovu sljedećih parametara:</w:t>
      </w:r>
    </w:p>
    <w:p w14:paraId="79F4A8DB">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1. Parametar: Cijena (C) ..................maksimalan broj bodova 90</w:t>
      </w:r>
    </w:p>
    <w:p w14:paraId="39FECD66">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2. Parametar: Kvalitet (K) ...............maksimalan broj bodova 10 </w:t>
      </w:r>
    </w:p>
    <w:p w14:paraId="7F1A94FF">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14:paraId="39D2FDC3">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6E5DF6E2">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Broj bodova(C)= (najniža ponuđena cijena bez PDV / ponuđena cijena bez PDV) ×90 </w:t>
      </w:r>
    </w:p>
    <w:p w14:paraId="25D51C29">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Ako je ponuđena cijena 0,00 EUR-a prilikom vrednovanja te cijene po parametru najniža ponuđena cijena uzima se da je ponuđena cijena 0,01 EUR. </w:t>
      </w:r>
    </w:p>
    <w:p w14:paraId="7BA625A3">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2. Parametar kvalitet (K) vrednovaće se na sljedeći način: max 10 bodova za izbor najpovoljnije ponude primjenom parametra kvalitet, kao osnova za vrednovanje uzima se:</w:t>
      </w:r>
    </w:p>
    <w:p w14:paraId="2FFEC8C4">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color w:val="000000"/>
        </w:rPr>
        <w:sym w:font="Wingdings" w:char="F078"/>
      </w:r>
      <w:r>
        <w:rPr>
          <w:rFonts w:ascii="Arial" w:hAnsi="Arial" w:cs="Arial"/>
          <w:color w:val="000000"/>
          <w:lang w:val="fr-FR"/>
        </w:rPr>
        <w:t xml:space="preserve"> </w:t>
      </w:r>
      <w:r>
        <w:rPr>
          <w:rFonts w:ascii="Arial" w:hAnsi="Arial" w:cs="Arial"/>
          <w:i/>
          <w:color w:val="000000"/>
          <w:lang w:val="fr-FR"/>
        </w:rPr>
        <w:t>rok isporuke robe</w:t>
      </w:r>
    </w:p>
    <w:p w14:paraId="5C68C611">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Ponuđač sa najkraćim ponuđenim rokom isporuke robe dobija maksimalni broj bodova u skladu sa ovim parametrom, a drugi ponuđači dobijaju proporcionalno manji broj bodova po formuli: </w:t>
      </w:r>
    </w:p>
    <w:p w14:paraId="3A83633A">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Broj bodova(K)= (najkraći ponuđeni rok isporuke robe/ ponuđeni rok)x10</w:t>
      </w:r>
    </w:p>
    <w:p w14:paraId="5D8274DF">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Napomena: Najniži ponuđeni rok ne može biti duži od 48h od dostavljanja pisanog zahtjeva za pojedinačnu isporuku od strane  Naručioca.</w:t>
      </w:r>
    </w:p>
    <w:p w14:paraId="70CA6FD1">
      <w:pPr>
        <w:pBdr>
          <w:top w:val="single" w:color="auto" w:sz="4" w:space="1"/>
          <w:left w:val="single" w:color="auto" w:sz="4" w:space="4"/>
          <w:bottom w:val="single" w:color="auto" w:sz="4" w:space="1"/>
          <w:right w:val="single" w:color="auto" w:sz="4" w:space="4"/>
        </w:pBdr>
        <w:jc w:val="both"/>
        <w:rPr>
          <w:rFonts w:ascii="Arial" w:hAnsi="Arial" w:cs="Arial"/>
          <w:i/>
          <w:color w:val="000000"/>
          <w:lang w:val="sr-Latn-ME"/>
        </w:rPr>
      </w:pPr>
      <w:r>
        <w:rPr>
          <w:rFonts w:ascii="Arial" w:hAnsi="Arial" w:cs="Arial"/>
          <w:i/>
          <w:color w:val="000000"/>
          <w:lang w:val="sr-Latn-ME"/>
        </w:rPr>
        <w:t>Rok isporuke iskazuje se u satima.</w:t>
      </w:r>
    </w:p>
    <w:p w14:paraId="213098D8">
      <w:pPr>
        <w:jc w:val="both"/>
        <w:rPr>
          <w:rFonts w:ascii="Arial" w:hAnsi="Arial" w:cs="Arial"/>
          <w:color w:val="000000"/>
        </w:rPr>
      </w:pPr>
    </w:p>
    <w:p w14:paraId="606449F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14:paraId="02759A97">
      <w:pPr>
        <w:jc w:val="both"/>
        <w:rPr>
          <w:rFonts w:ascii="Arial" w:hAnsi="Arial" w:cs="Arial"/>
          <w:b/>
          <w:bCs/>
          <w:color w:val="000000"/>
        </w:rPr>
      </w:pPr>
    </w:p>
    <w:p w14:paraId="74B845E1">
      <w:pPr>
        <w:jc w:val="both"/>
        <w:rPr>
          <w:rFonts w:ascii="Arial" w:hAnsi="Arial" w:cs="Arial"/>
          <w:color w:val="000000"/>
        </w:rPr>
      </w:pPr>
      <w:r>
        <w:rPr>
          <w:rFonts w:ascii="Arial" w:hAnsi="Arial" w:cs="Arial"/>
          <w:color w:val="000000"/>
        </w:rPr>
        <w:t>Ponuda se sačinjava na:</w:t>
      </w:r>
    </w:p>
    <w:p w14:paraId="5C5DBD54">
      <w:pPr>
        <w:jc w:val="both"/>
        <w:rPr>
          <w:rFonts w:ascii="Arial" w:hAnsi="Arial" w:cs="Arial"/>
          <w:b/>
          <w:bCs/>
          <w:color w:val="000000"/>
        </w:rPr>
      </w:pPr>
    </w:p>
    <w:p w14:paraId="13352259">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78737A35">
      <w:pPr>
        <w:jc w:val="both"/>
        <w:rPr>
          <w:rFonts w:ascii="Arial" w:hAnsi="Arial" w:cs="Arial"/>
          <w:color w:val="000000"/>
        </w:rPr>
      </w:pPr>
    </w:p>
    <w:p w14:paraId="01244735">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14:paraId="67CC6AC8">
      <w:pPr>
        <w:jc w:val="both"/>
        <w:rPr>
          <w:rFonts w:ascii="Arial" w:hAnsi="Arial" w:cs="Arial"/>
        </w:rPr>
      </w:pPr>
    </w:p>
    <w:p w14:paraId="2829732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14:paraId="59331461">
      <w:pPr>
        <w:jc w:val="both"/>
        <w:rPr>
          <w:rFonts w:ascii="Arial" w:hAnsi="Arial" w:cs="Arial"/>
          <w:b/>
          <w:bCs/>
          <w:color w:val="000000"/>
        </w:rPr>
      </w:pPr>
    </w:p>
    <w:p w14:paraId="17A1A116">
      <w:pPr>
        <w:jc w:val="both"/>
        <w:rPr>
          <w:rFonts w:ascii="Arial" w:hAnsi="Arial" w:cs="Arial"/>
          <w:color w:val="000000"/>
        </w:rPr>
      </w:pPr>
      <w:r>
        <w:rPr>
          <w:rFonts w:ascii="Arial" w:hAnsi="Arial" w:cs="Arial"/>
          <w:b/>
          <w:color w:val="000000"/>
        </w:rPr>
        <w:t xml:space="preserve">Ponude se podnose preko ESJN-a  zaključno sa danom </w:t>
      </w:r>
      <w:r>
        <w:rPr>
          <w:rFonts w:ascii="Arial" w:hAnsi="Arial" w:cs="Arial"/>
          <w:b/>
          <w:color w:val="000000"/>
          <w:lang w:val="sr-Latn-ME"/>
        </w:rPr>
        <w:t>23.10</w:t>
      </w:r>
      <w:r>
        <w:rPr>
          <w:rFonts w:ascii="Arial" w:hAnsi="Arial" w:cs="Arial"/>
          <w:b/>
          <w:color w:val="000000"/>
        </w:rPr>
        <w:t>.202</w:t>
      </w:r>
      <w:r>
        <w:rPr>
          <w:rFonts w:ascii="Arial" w:hAnsi="Arial" w:cs="Arial"/>
          <w:b/>
          <w:color w:val="000000"/>
          <w:lang w:val="sr-Latn-ME"/>
        </w:rPr>
        <w:t>4</w:t>
      </w:r>
      <w:r>
        <w:rPr>
          <w:rFonts w:ascii="Arial" w:hAnsi="Arial" w:cs="Arial"/>
          <w:b/>
          <w:color w:val="000000"/>
        </w:rPr>
        <w:t>. godine do 11:00 sati</w:t>
      </w:r>
      <w:r>
        <w:rPr>
          <w:rFonts w:ascii="Arial" w:hAnsi="Arial" w:cs="Arial"/>
          <w:color w:val="000000"/>
        </w:rPr>
        <w:t xml:space="preserve">. </w:t>
      </w:r>
    </w:p>
    <w:p w14:paraId="734AA582">
      <w:pPr>
        <w:jc w:val="both"/>
        <w:rPr>
          <w:rFonts w:ascii="Arial" w:hAnsi="Arial" w:cs="Arial"/>
          <w:color w:val="000000"/>
        </w:rPr>
      </w:pPr>
    </w:p>
    <w:p w14:paraId="11BC5B6C">
      <w:pPr>
        <w:jc w:val="both"/>
        <w:rPr>
          <w:rFonts w:ascii="Arial" w:hAnsi="Arial" w:cs="Arial"/>
          <w:color w:val="000000"/>
        </w:rPr>
      </w:pPr>
      <w:r>
        <w:rPr>
          <w:rFonts w:ascii="Arial" w:hAnsi="Arial" w:cs="Arial"/>
          <w:color w:val="000000"/>
        </w:rPr>
        <w:t>Otvaranje ponuda održaće se dana 23.10.2024. godine u 11:00 sati.</w:t>
      </w:r>
    </w:p>
    <w:p w14:paraId="020C06FE">
      <w:pPr>
        <w:jc w:val="both"/>
        <w:rPr>
          <w:rFonts w:ascii="Arial" w:hAnsi="Arial" w:cs="Arial"/>
          <w:color w:val="000000"/>
        </w:rPr>
      </w:pPr>
      <w:r>
        <w:rPr>
          <w:rFonts w:ascii="Arial" w:hAnsi="Arial" w:cs="Arial"/>
          <w:color w:val="000000"/>
        </w:rPr>
        <w:t>Napomena: U skladu sa Zakonom o javnim nabavkama Izjava privrednog subjekta i garancija ponude podnose se u elektronskom obliku putem ESJN.</w:t>
      </w:r>
    </w:p>
    <w:p w14:paraId="22750010">
      <w:pPr>
        <w:jc w:val="both"/>
        <w:rPr>
          <w:rFonts w:ascii="Arial" w:hAnsi="Arial" w:cs="Arial"/>
          <w:color w:val="000000"/>
        </w:rPr>
      </w:pPr>
      <w:r>
        <w:rPr>
          <w:rFonts w:ascii="Arial" w:hAnsi="Arial" w:cs="Arial"/>
          <w:color w:val="000000"/>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7D902BB8">
      <w:pPr>
        <w:jc w:val="both"/>
        <w:rPr>
          <w:rFonts w:ascii="Arial" w:hAnsi="Arial" w:cs="Arial"/>
          <w:color w:val="000000"/>
        </w:rPr>
      </w:pPr>
    </w:p>
    <w:p w14:paraId="1EEA34BF">
      <w:pPr>
        <w:jc w:val="both"/>
        <w:rPr>
          <w:rFonts w:ascii="Arial" w:hAnsi="Arial" w:cs="Arial"/>
          <w:color w:val="000000"/>
        </w:rPr>
      </w:pPr>
      <w:r>
        <w:rPr>
          <w:rFonts w:ascii="Arial" w:hAnsi="Arial" w:cs="Arial"/>
          <w:color w:val="000000"/>
        </w:rPr>
        <w:t>neposrednom podnošenjem na arhivi naručioca na adresi Zabjelo, Zetskih Vladara 1/14  Lamela A (Južna kapija grada).</w:t>
      </w:r>
    </w:p>
    <w:p w14:paraId="19F64374">
      <w:pPr>
        <w:jc w:val="both"/>
        <w:rPr>
          <w:rFonts w:ascii="Arial" w:hAnsi="Arial" w:cs="Arial"/>
          <w:color w:val="000000"/>
        </w:rPr>
      </w:pPr>
    </w:p>
    <w:p w14:paraId="1786783C">
      <w:pPr>
        <w:jc w:val="both"/>
        <w:rPr>
          <w:rFonts w:ascii="Arial" w:hAnsi="Arial" w:cs="Arial"/>
          <w:color w:val="000000"/>
        </w:rPr>
      </w:pPr>
      <w:r>
        <w:rPr>
          <w:rFonts w:ascii="Arial" w:hAnsi="Arial" w:cs="Arial"/>
          <w:color w:val="000000"/>
        </w:rPr>
        <w:t xml:space="preserve"> preporučenom pošiljkom sa povratnicom na adresi Zabjelo, Zetskih Vladara 1/14  Lamela A (Južna kapija grada).</w:t>
      </w:r>
    </w:p>
    <w:p w14:paraId="1CBF4707">
      <w:pPr>
        <w:jc w:val="both"/>
        <w:rPr>
          <w:rFonts w:ascii="Arial" w:hAnsi="Arial" w:cs="Arial"/>
          <w:color w:val="000000"/>
        </w:rPr>
      </w:pPr>
    </w:p>
    <w:p w14:paraId="711497FB">
      <w:pPr>
        <w:jc w:val="both"/>
        <w:rPr>
          <w:rFonts w:ascii="Arial" w:hAnsi="Arial" w:cs="Arial"/>
          <w:color w:val="000000"/>
        </w:rPr>
      </w:pPr>
      <w:r>
        <w:rPr>
          <w:rFonts w:ascii="Arial" w:hAnsi="Arial" w:cs="Arial"/>
          <w:color w:val="000000"/>
        </w:rPr>
        <w:t>radnim danima od 8:00 do 16:00 sati, zaključno sa danom 23.10.2024. godine do 11:00 sati.</w:t>
      </w:r>
    </w:p>
    <w:p w14:paraId="42A94DC0">
      <w:pPr>
        <w:jc w:val="both"/>
        <w:rPr>
          <w:rFonts w:ascii="Arial" w:hAnsi="Arial" w:cs="Arial"/>
          <w:color w:val="000000"/>
        </w:rPr>
      </w:pPr>
    </w:p>
    <w:p w14:paraId="7418A33A">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Razlozi hitnosti za skraćenje roka za podnošenje ponuda:</w:t>
      </w:r>
    </w:p>
    <w:p w14:paraId="703AD829">
      <w:pPr>
        <w:jc w:val="both"/>
        <w:rPr>
          <w:rFonts w:ascii="Arial" w:hAnsi="Arial" w:cs="Arial"/>
        </w:rPr>
      </w:pPr>
    </w:p>
    <w:p w14:paraId="1C8392E9">
      <w:pPr>
        <w:jc w:val="both"/>
        <w:rPr>
          <w:rFonts w:ascii="Arial" w:hAnsi="Arial" w:cs="Arial"/>
          <w:lang w:val="sr-Latn-ME"/>
        </w:rPr>
      </w:pPr>
      <w:r>
        <w:rPr>
          <w:rFonts w:ascii="Arial" w:hAnsi="Arial" w:cs="Arial"/>
        </w:rPr>
        <w:t>Naručilac se opredijelio za skraćeni rok za dostavljanje ponuda</w:t>
      </w:r>
      <w:r>
        <w:rPr>
          <w:rFonts w:ascii="Arial" w:hAnsi="Arial" w:cs="Arial"/>
          <w:lang w:val="sr-Latn-ME"/>
        </w:rPr>
        <w:t xml:space="preserve"> iz sledećeg razloga:</w:t>
      </w:r>
    </w:p>
    <w:p w14:paraId="0167F93F">
      <w:pPr>
        <w:jc w:val="both"/>
        <w:rPr>
          <w:rFonts w:ascii="Arial" w:hAnsi="Arial" w:cs="Arial"/>
          <w:lang w:val="sr-Latn-ME"/>
        </w:rPr>
      </w:pPr>
      <w:r>
        <w:rPr>
          <w:rFonts w:ascii="Arial" w:hAnsi="Arial" w:cs="Arial"/>
          <w:color w:val="000000"/>
          <w:lang w:val="sr-Latn-ME"/>
        </w:rPr>
        <w:t xml:space="preserve">Imajući u vidu dinamiku izvođenja radova i preuzete poslove od javnog interesa (sanacija saobraćajnica, sanacija udarnih rupa na teritoriji Glavnog grada), a samim tim i potrošnju predmetne robe, a uzimajući u obzir potencijalni rok za odlučivanje u postupku i potpisivanje ugovora od minimum 60 dana od dana objavljivanja predmetnog poziva u slučaju objavljivanja istog prema redovnim rokovima od 30 dana, naručilac se opredijelio za skraćeni rok za podnošenje ponuda, </w:t>
      </w:r>
      <w:r>
        <w:rPr>
          <w:rFonts w:ascii="Arial" w:hAnsi="Arial" w:cs="Arial"/>
        </w:rPr>
        <w:t xml:space="preserve">a sve u </w:t>
      </w:r>
      <w:r>
        <w:rPr>
          <w:rFonts w:ascii="Arial" w:hAnsi="Arial" w:cs="Arial"/>
          <w:lang w:val="sr-Latn-ME"/>
        </w:rPr>
        <w:t xml:space="preserve">cilju </w:t>
      </w:r>
      <w:r>
        <w:rPr>
          <w:rFonts w:ascii="Arial" w:hAnsi="Arial" w:cs="Arial"/>
        </w:rPr>
        <w:t>obezbjeđivanja kontinuirane isporuke predmetne robe</w:t>
      </w:r>
      <w:r>
        <w:rPr>
          <w:rFonts w:ascii="Arial" w:hAnsi="Arial" w:cs="Arial"/>
          <w:lang w:val="sr-Latn-ME"/>
        </w:rPr>
        <w:t>,</w:t>
      </w:r>
      <w:r>
        <w:rPr>
          <w:rFonts w:ascii="Arial" w:hAnsi="Arial" w:cs="Arial"/>
        </w:rPr>
        <w:t xml:space="preserve"> radi obavljanja primarne djelatnosti </w:t>
      </w:r>
      <w:r>
        <w:rPr>
          <w:rFonts w:ascii="Arial" w:hAnsi="Arial" w:cs="Arial"/>
          <w:lang w:val="sr-Latn-ME"/>
        </w:rPr>
        <w:t>D</w:t>
      </w:r>
      <w:r>
        <w:rPr>
          <w:rFonts w:ascii="Arial" w:hAnsi="Arial" w:cs="Arial"/>
        </w:rPr>
        <w:t>ruštva.</w:t>
      </w:r>
      <w:r>
        <w:rPr>
          <w:rFonts w:ascii="Arial" w:hAnsi="Arial" w:cs="Arial"/>
          <w:lang w:val="sr-Latn-ME"/>
        </w:rPr>
        <w:t xml:space="preserve"> </w:t>
      </w:r>
    </w:p>
    <w:p w14:paraId="0CD1A38E">
      <w:pPr>
        <w:jc w:val="both"/>
        <w:rPr>
          <w:rFonts w:ascii="Arial" w:hAnsi="Arial" w:cs="Arial"/>
          <w:color w:val="000000"/>
          <w:lang w:val="sr-Latn-ME"/>
        </w:rPr>
      </w:pPr>
    </w:p>
    <w:p w14:paraId="617C44D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9"/>
      </w:r>
      <w:bookmarkEnd w:id="9"/>
    </w:p>
    <w:p w14:paraId="776AEC86">
      <w:pPr>
        <w:jc w:val="both"/>
        <w:rPr>
          <w:rFonts w:ascii="Arial" w:hAnsi="Arial" w:cs="Arial"/>
          <w:b/>
          <w:bCs/>
          <w:color w:val="000000"/>
        </w:rPr>
      </w:pPr>
    </w:p>
    <w:p w14:paraId="5C00BA2D">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22F346F6">
      <w:pPr>
        <w:pStyle w:val="11"/>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69F61372">
      <w:pPr>
        <w:pStyle w:val="11"/>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2054F29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14:paraId="75EADC66">
      <w:pPr>
        <w:jc w:val="both"/>
        <w:rPr>
          <w:rFonts w:ascii="Arial" w:hAnsi="Arial" w:cs="Arial"/>
          <w:color w:val="000000"/>
        </w:rPr>
      </w:pPr>
      <w:r>
        <w:rPr>
          <w:rFonts w:ascii="Arial" w:hAnsi="Arial" w:cs="Arial"/>
          <w:color w:val="000000"/>
        </w:rPr>
        <w:t xml:space="preserve"> </w:t>
      </w:r>
    </w:p>
    <w:p w14:paraId="4E161D94">
      <w:pPr>
        <w:jc w:val="both"/>
        <w:rPr>
          <w:rFonts w:ascii="Arial" w:hAnsi="Arial" w:cs="Arial"/>
          <w:color w:val="000000"/>
        </w:rPr>
      </w:pPr>
      <w:r>
        <w:rPr>
          <w:rFonts w:ascii="Arial" w:hAnsi="Arial" w:cs="Arial"/>
          <w:color w:val="000000"/>
        </w:rPr>
        <w:t>Tenderska dokumentacija sadrži tajne podatke</w:t>
      </w:r>
    </w:p>
    <w:p w14:paraId="41799F97">
      <w:pPr>
        <w:jc w:val="both"/>
        <w:rPr>
          <w:rFonts w:ascii="Arial" w:hAnsi="Arial" w:cs="Arial"/>
          <w:color w:val="000000"/>
        </w:rPr>
      </w:pPr>
    </w:p>
    <w:p w14:paraId="71EC421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0FB13FB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14:paraId="1DE5CF42">
      <w:pPr>
        <w:rPr>
          <w:rFonts w:ascii="Arial" w:hAnsi="Arial" w:cs="Arial"/>
        </w:rPr>
      </w:pPr>
    </w:p>
    <w:p w14:paraId="144CDBEA">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14:paraId="639D57AD">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14:paraId="2639867A">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14:paraId="07E8CF1D">
      <w:pPr>
        <w:jc w:val="both"/>
        <w:rPr>
          <w:rFonts w:ascii="Arial" w:hAnsi="Arial" w:cs="Arial"/>
          <w:b/>
          <w:bCs/>
          <w:color w:val="000000"/>
        </w:rPr>
      </w:pPr>
    </w:p>
    <w:p w14:paraId="095E486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14:paraId="010B779A">
      <w:pPr>
        <w:jc w:val="both"/>
        <w:rPr>
          <w:rFonts w:ascii="Arial" w:hAnsi="Arial" w:cs="Arial"/>
          <w:i/>
        </w:rPr>
      </w:pPr>
    </w:p>
    <w:p w14:paraId="4F02652A">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29EFD666">
      <w:pPr>
        <w:jc w:val="both"/>
        <w:rPr>
          <w:rFonts w:ascii="Arial" w:hAnsi="Arial" w:cs="Arial"/>
        </w:rPr>
      </w:pPr>
    </w:p>
    <w:p w14:paraId="7100CE3C">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46F4C311">
      <w:pPr>
        <w:jc w:val="both"/>
        <w:rPr>
          <w:rFonts w:ascii="Arial" w:hAnsi="Arial" w:cs="Arial"/>
        </w:rPr>
      </w:pPr>
    </w:p>
    <w:p w14:paraId="36EC32FA">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10"/>
      </w:r>
    </w:p>
    <w:p w14:paraId="1E6C6575">
      <w:pPr>
        <w:jc w:val="both"/>
        <w:rPr>
          <w:rFonts w:ascii="Arial" w:hAnsi="Arial" w:cs="Arial"/>
          <w:color w:val="000000"/>
        </w:rPr>
      </w:pPr>
    </w:p>
    <w:p w14:paraId="3F7CFBAA">
      <w:pPr>
        <w:jc w:val="both"/>
        <w:rPr>
          <w:rFonts w:ascii="Arial" w:hAnsi="Arial" w:eastAsia="PMingLiU" w:cs="Arial"/>
          <w:lang w:val="sr-Latn-CS"/>
        </w:rPr>
      </w:pPr>
      <w:r>
        <w:rPr>
          <w:rFonts w:ascii="Arial" w:hAnsi="Arial" w:eastAsia="PMingLiU" w:cs="Arial"/>
          <w:lang w:val="sr-Latn-CS"/>
        </w:rPr>
        <w:t>Izabrani ponuđač se obavezuje da plati ugovornu kaznu u visini 2‰ za svaki dan kašnjenja u isporuci robe, a najviše 5% od ukupne vrijednosti ugovorenog posla.</w:t>
      </w:r>
    </w:p>
    <w:p w14:paraId="38CF9182">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0E0DFF85">
      <w:pPr>
        <w:jc w:val="both"/>
        <w:rPr>
          <w:rFonts w:ascii="Arial" w:hAnsi="Arial" w:eastAsia="Calibri" w:cs="Arial"/>
        </w:rPr>
      </w:pPr>
      <w:r>
        <w:rPr>
          <w:rFonts w:ascii="Arial" w:hAnsi="Arial" w:eastAsia="Calibri" w:cs="Arial"/>
        </w:rPr>
        <w:t xml:space="preserve">-U slučaju kada Naručilac ustanovi da roba koja je predmet ovog ugovora ili način na koje se isporučuje, odstupa od ponuđenog iz ponude Dobavljača. </w:t>
      </w:r>
    </w:p>
    <w:p w14:paraId="4A105C3F">
      <w:pPr>
        <w:jc w:val="both"/>
        <w:rPr>
          <w:rFonts w:ascii="Arial" w:hAnsi="Arial" w:eastAsia="Calibri" w:cs="Arial"/>
          <w:bCs/>
        </w:rPr>
      </w:pPr>
    </w:p>
    <w:p w14:paraId="70AFA8F0">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 Ukoliko se Dobavljač ne odazove pozivu Naručioca u roku od 48h, Naručilac ima pravo da raskine ugovor i aktivira garanciju za dobro izvršenje ugovora.</w:t>
      </w:r>
    </w:p>
    <w:p w14:paraId="1DF0E70A">
      <w:pPr>
        <w:jc w:val="both"/>
        <w:rPr>
          <w:rFonts w:ascii="Arial" w:hAnsi="Arial" w:cs="Arial"/>
          <w:b/>
          <w:bCs/>
          <w:color w:val="000000"/>
        </w:rPr>
      </w:pPr>
    </w:p>
    <w:p w14:paraId="3DDC3B2E">
      <w:pPr>
        <w:jc w:val="both"/>
        <w:rPr>
          <w:rFonts w:ascii="Arial" w:hAnsi="Arial" w:cs="Arial"/>
          <w:color w:val="000000"/>
        </w:rPr>
      </w:pPr>
    </w:p>
    <w:p w14:paraId="44D737AA">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14:paraId="0F7F5A70">
      <w:pPr>
        <w:jc w:val="both"/>
        <w:rPr>
          <w:rFonts w:ascii="Arial" w:hAnsi="Arial" w:cs="Arial"/>
          <w:color w:val="000000"/>
        </w:rPr>
      </w:pPr>
    </w:p>
    <w:p w14:paraId="23BD40D3">
      <w:pPr>
        <w:numPr>
          <w:ilvl w:val="0"/>
          <w:numId w:val="7"/>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2E6C92BB">
      <w:pPr>
        <w:jc w:val="both"/>
        <w:rPr>
          <w:rFonts w:ascii="Arial" w:hAnsi="Arial" w:cs="Arial"/>
          <w:color w:val="000000"/>
        </w:rPr>
      </w:pPr>
    </w:p>
    <w:p w14:paraId="1645CCA1">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0EC7F4EA">
      <w:pPr>
        <w:autoSpaceDE w:val="0"/>
        <w:autoSpaceDN w:val="0"/>
        <w:adjustRightInd w:val="0"/>
        <w:jc w:val="both"/>
        <w:rPr>
          <w:rFonts w:ascii="Arial" w:hAnsi="Arial" w:cs="Arial" w:eastAsiaTheme="minorHAnsi"/>
        </w:rPr>
      </w:pPr>
    </w:p>
    <w:p w14:paraId="280B5FDE">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57699D97">
      <w:pPr>
        <w:jc w:val="both"/>
        <w:rPr>
          <w:rFonts w:ascii="Arial" w:hAnsi="Arial" w:cs="Arial"/>
        </w:rPr>
      </w:pPr>
    </w:p>
    <w:p w14:paraId="09CF90D0">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14:paraId="7AF31EB3">
      <w:pPr>
        <w:jc w:val="both"/>
        <w:rPr>
          <w:rFonts w:ascii="Arial" w:hAnsi="Arial" w:cs="Arial"/>
          <w:lang w:val="sr-Latn-ME"/>
        </w:rPr>
      </w:pPr>
      <w:r>
        <w:rPr>
          <w:rFonts w:ascii="Arial" w:hAnsi="Arial" w:cs="Arial"/>
          <w:lang w:val="sr-Latn-ME"/>
        </w:rPr>
        <w:t>3 b) kada se vrši zamjena podugovarača u skladu sa članom 128 st.10,11, i 12 Zakona.</w:t>
      </w:r>
    </w:p>
    <w:p w14:paraId="5BEDC07F">
      <w:pPr>
        <w:jc w:val="both"/>
        <w:rPr>
          <w:rFonts w:ascii="Arial" w:hAnsi="Arial" w:cs="Arial"/>
          <w:lang w:val="sr-Latn-ME"/>
        </w:rPr>
      </w:pPr>
    </w:p>
    <w:p w14:paraId="4AFEB18F">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7EEAA98">
      <w:pPr>
        <w:autoSpaceDE w:val="0"/>
        <w:autoSpaceDN w:val="0"/>
        <w:adjustRightInd w:val="0"/>
        <w:jc w:val="both"/>
        <w:rPr>
          <w:rFonts w:ascii="Arial" w:hAnsi="Arial" w:cs="Arial" w:eastAsiaTheme="minorHAnsi"/>
        </w:rPr>
      </w:pPr>
    </w:p>
    <w:p w14:paraId="0A13556D">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ugovorzajedno sa garancijom za dobro izvršenje ugovora.</w:t>
      </w:r>
    </w:p>
    <w:p w14:paraId="22C0DFA9">
      <w:pPr>
        <w:jc w:val="both"/>
        <w:rPr>
          <w:rFonts w:ascii="Arial" w:hAnsi="Arial" w:eastAsia="sans-serif" w:cs="Arial"/>
        </w:rPr>
      </w:pPr>
    </w:p>
    <w:p w14:paraId="5C511E8D">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14:paraId="0148809F">
      <w:pPr>
        <w:autoSpaceDE w:val="0"/>
        <w:autoSpaceDN w:val="0"/>
        <w:adjustRightInd w:val="0"/>
        <w:jc w:val="both"/>
        <w:rPr>
          <w:rFonts w:ascii="Arial" w:hAnsi="Arial" w:cs="Arial" w:eastAsiaTheme="minorHAnsi"/>
        </w:rPr>
      </w:pPr>
    </w:p>
    <w:p w14:paraId="557AFEB2">
      <w:pPr>
        <w:jc w:val="both"/>
        <w:rPr>
          <w:rFonts w:ascii="Arial" w:hAnsi="Arial" w:eastAsia="sans-serif" w:cs="Arial"/>
        </w:rPr>
      </w:pPr>
      <w:r>
        <w:rPr>
          <w:rFonts w:ascii="Arial" w:hAnsi="Arial" w:eastAsia="sans-serif" w:cs="Arial"/>
        </w:rPr>
        <w:t>Ugovor se zaključuje na period od 1 (jedne) godine ili dostizanja procijenjene vrijednosti javne nabavke, zavisno koji od uslova bude ranije ispunjen. U skladu sa članom 149 stav 13 Zakona o javnim nabavkama, ponuđena cijena tokom navedenog perioda definisaće se u skladu sa formulom za formiranje cijene bitumena za sedmicu koja prethodi sedmici utovara. Napomena: ostali troškovi za formiranje cijene iz obrasca strukture ponuđene cijene, tokom trajanja ugovora ostaju nepromenjivi. NAPOMENA ZA FORMIRANJE CIJENE PONUĐENE ROBE : Ukoliko za vrijeme trajanja ugovora dođe do promjene parametara koji utiču na cijenu bitumena (Kurs US dolara i prosječna srednja kotacijska cijena za ulje za loženje), pri čemu će se koristiti formula: prosječna srednja kotacijska cijena za ulje za loženje (1.0 PCT prema PCT Platts European Marketscan kotacijama na paritetu FOB Med Italy), za sedmicu koja prethodi sedmici utovara, ponuđač je dužan dostaviti: -Kurs US dolara: dokaz o kretanju prosječnog prodajnog kursa US dolara, što se dokazuje izvještajem dobijenim od strane</w:t>
      </w:r>
      <w:r>
        <w:rPr>
          <w:rFonts w:ascii="Arial" w:hAnsi="Arial" w:eastAsia="sans-serif" w:cs="Arial"/>
          <w:lang w:val="sr-Latn-ME"/>
        </w:rPr>
        <w:t xml:space="preserve"> Centralne banke Crne Gore ili</w:t>
      </w:r>
      <w:r>
        <w:rPr>
          <w:rFonts w:ascii="Arial" w:hAnsi="Arial" w:eastAsia="sans-serif" w:cs="Arial"/>
        </w:rPr>
        <w:t xml:space="preserve"> poslovne banke iz Crne Gore , za sedmicu koja prethodi sedmici utovara. -prosječna srednja kotacijska cijena za ulje za loženje (1.0 PCT prema PCT Platts European Marketscan kotacijama na paritetu FOB Med Italy), za sedmicu koja prethodi sedmici utovara.</w:t>
      </w:r>
    </w:p>
    <w:p w14:paraId="1C4423B5">
      <w:pPr>
        <w:jc w:val="both"/>
        <w:rPr>
          <w:rFonts w:ascii="Arial" w:hAnsi="Arial" w:eastAsia="sans-serif" w:cs="Arial"/>
        </w:rPr>
      </w:pPr>
      <w:bookmarkStart w:id="18" w:name="_GoBack"/>
      <w:bookmarkEnd w:id="18"/>
    </w:p>
    <w:p w14:paraId="7D1A9850">
      <w:pPr>
        <w:jc w:val="both"/>
        <w:rPr>
          <w:rFonts w:ascii="Arial" w:hAnsi="Arial" w:eastAsia="sans-serif" w:cs="Arial"/>
        </w:rPr>
      </w:pPr>
    </w:p>
    <w:p w14:paraId="005232CC">
      <w:pPr>
        <w:jc w:val="both"/>
        <w:rPr>
          <w:rFonts w:ascii="Arial" w:hAnsi="Arial" w:eastAsia="sans-serif" w:cs="Arial"/>
        </w:rPr>
      </w:pPr>
    </w:p>
    <w:p w14:paraId="6C7367CA">
      <w:pPr>
        <w:jc w:val="both"/>
        <w:rPr>
          <w:rFonts w:ascii="Arial" w:hAnsi="Arial" w:eastAsia="sans-serif" w:cs="Arial"/>
        </w:rPr>
      </w:pPr>
    </w:p>
    <w:p w14:paraId="2261AC9E">
      <w:pPr>
        <w:jc w:val="both"/>
        <w:rPr>
          <w:rFonts w:ascii="Arial" w:hAnsi="Arial" w:eastAsia="sans-serif" w:cs="Arial"/>
        </w:rPr>
      </w:pPr>
    </w:p>
    <w:p w14:paraId="1827F168">
      <w:pPr>
        <w:jc w:val="both"/>
        <w:rPr>
          <w:rFonts w:ascii="Arial" w:hAnsi="Arial" w:eastAsia="sans-serif" w:cs="Arial"/>
        </w:rPr>
      </w:pPr>
    </w:p>
    <w:p w14:paraId="4F64EB9C">
      <w:pPr>
        <w:jc w:val="both"/>
        <w:rPr>
          <w:rFonts w:ascii="Arial" w:hAnsi="Arial" w:eastAsia="sans-serif" w:cs="Arial"/>
        </w:rPr>
      </w:pPr>
    </w:p>
    <w:p w14:paraId="6DAFAECA">
      <w:pPr>
        <w:jc w:val="both"/>
        <w:rPr>
          <w:rFonts w:ascii="Arial" w:hAnsi="Arial" w:eastAsia="sans-serif" w:cs="Arial"/>
        </w:rPr>
      </w:pPr>
    </w:p>
    <w:p w14:paraId="07D16389">
      <w:pPr>
        <w:jc w:val="both"/>
        <w:rPr>
          <w:rFonts w:ascii="Arial" w:hAnsi="Arial" w:eastAsia="sans-serif" w:cs="Arial"/>
        </w:rPr>
      </w:pPr>
    </w:p>
    <w:tbl>
      <w:tblPr>
        <w:tblStyle w:val="3"/>
        <w:tblpPr w:leftFromText="180" w:rightFromText="180" w:vertAnchor="page" w:horzAnchor="page" w:tblpX="1104" w:tblpY="2343"/>
        <w:tblOverlap w:val="never"/>
        <w:tblW w:w="8800" w:type="dxa"/>
        <w:tblInd w:w="0" w:type="dxa"/>
        <w:tblLayout w:type="fixed"/>
        <w:tblCellMar>
          <w:top w:w="0" w:type="dxa"/>
          <w:left w:w="70" w:type="dxa"/>
          <w:bottom w:w="0" w:type="dxa"/>
          <w:right w:w="70" w:type="dxa"/>
        </w:tblCellMar>
      </w:tblPr>
      <w:tblGrid>
        <w:gridCol w:w="630"/>
        <w:gridCol w:w="2410"/>
        <w:gridCol w:w="2746"/>
        <w:gridCol w:w="3014"/>
      </w:tblGrid>
      <w:tr w14:paraId="44501839">
        <w:tblPrEx>
          <w:tblCellMar>
            <w:top w:w="0" w:type="dxa"/>
            <w:left w:w="70" w:type="dxa"/>
            <w:bottom w:w="0" w:type="dxa"/>
            <w:right w:w="70" w:type="dxa"/>
          </w:tblCellMar>
        </w:tblPrEx>
        <w:trPr>
          <w:trHeight w:val="1127" w:hRule="atLeast"/>
        </w:trPr>
        <w:tc>
          <w:tcPr>
            <w:tcW w:w="8800" w:type="dxa"/>
            <w:gridSpan w:val="4"/>
            <w:tcBorders>
              <w:top w:val="single" w:color="auto" w:sz="8" w:space="0"/>
              <w:left w:val="single" w:color="auto" w:sz="8" w:space="0"/>
              <w:bottom w:val="single" w:color="auto" w:sz="8" w:space="0"/>
              <w:right w:val="single" w:color="auto" w:sz="8" w:space="0"/>
            </w:tcBorders>
            <w:shd w:val="clear" w:color="auto" w:fill="D9D9D9"/>
          </w:tcPr>
          <w:p w14:paraId="06E444D5">
            <w:pPr>
              <w:rPr>
                <w:rFonts w:ascii="Arial" w:hAnsi="Arial" w:cs="Arial"/>
                <w:b/>
                <w:bCs/>
                <w:color w:val="000000"/>
                <w:lang w:val="sr-Latn-ME" w:eastAsia="sr-Latn-CS"/>
              </w:rPr>
            </w:pPr>
          </w:p>
          <w:p w14:paraId="7E314C7B">
            <w:pPr>
              <w:rPr>
                <w:rFonts w:ascii="Arial" w:hAnsi="Arial" w:cs="Arial"/>
                <w:b/>
                <w:bCs/>
                <w:color w:val="000000"/>
                <w:lang w:val="sr-Latn-ME" w:eastAsia="sr-Latn-CS"/>
              </w:rPr>
            </w:pPr>
            <w:r>
              <w:rPr>
                <w:rFonts w:ascii="Arial" w:hAnsi="Arial" w:cs="Arial"/>
                <w:b/>
                <w:bCs/>
                <w:color w:val="000000"/>
                <w:lang w:eastAsia="sr-Latn-CS"/>
              </w:rPr>
              <w:t>OBRAZAC STRUKTURE PONU</w:t>
            </w:r>
            <w:r>
              <w:rPr>
                <w:rFonts w:ascii="Arial" w:hAnsi="Arial" w:cs="Arial"/>
                <w:b/>
                <w:bCs/>
                <w:color w:val="000000"/>
                <w:lang w:val="sr-Latn-ME" w:eastAsia="sr-Latn-CS"/>
              </w:rPr>
              <w:t>ĐENE CIJENE BITUMENA 50/70  SA UPUTSTVOM ZA POPUNJAVAVANJE</w:t>
            </w:r>
          </w:p>
        </w:tc>
      </w:tr>
      <w:tr w14:paraId="4C0C3083">
        <w:tblPrEx>
          <w:tblCellMar>
            <w:top w:w="0" w:type="dxa"/>
            <w:left w:w="70" w:type="dxa"/>
            <w:bottom w:w="0" w:type="dxa"/>
            <w:right w:w="70" w:type="dxa"/>
          </w:tblCellMar>
        </w:tblPrEx>
        <w:trPr>
          <w:trHeight w:val="1127" w:hRule="atLeast"/>
        </w:trPr>
        <w:tc>
          <w:tcPr>
            <w:tcW w:w="8800" w:type="dxa"/>
            <w:gridSpan w:val="4"/>
            <w:tcBorders>
              <w:top w:val="single" w:color="auto" w:sz="8" w:space="0"/>
              <w:left w:val="single" w:color="auto" w:sz="8" w:space="0"/>
              <w:bottom w:val="single" w:color="auto" w:sz="8" w:space="0"/>
              <w:right w:val="single" w:color="auto" w:sz="4" w:space="0"/>
            </w:tcBorders>
            <w:shd w:val="clear" w:color="auto" w:fill="D9D9D9"/>
            <w:vAlign w:val="center"/>
          </w:tcPr>
          <w:p w14:paraId="4FBE2131">
            <w:pPr>
              <w:jc w:val="both"/>
              <w:rPr>
                <w:rFonts w:ascii="Arial" w:hAnsi="Arial" w:cs="Arial"/>
                <w:b/>
                <w:bCs/>
                <w:color w:val="000000"/>
                <w:lang w:val="sr-Latn-ME" w:eastAsia="sr-Latn-CS"/>
              </w:rPr>
            </w:pPr>
            <w:r>
              <w:rPr>
                <w:rFonts w:ascii="Arial" w:hAnsi="Arial" w:cs="Arial"/>
                <w:b/>
                <w:bCs/>
                <w:color w:val="000000"/>
                <w:lang w:eastAsia="sr-Latn-CS"/>
              </w:rPr>
              <w:t>P</w:t>
            </w:r>
            <w:r>
              <w:rPr>
                <w:rFonts w:ascii="Arial" w:hAnsi="Arial" w:cs="Arial"/>
                <w:b/>
                <w:bCs/>
                <w:color w:val="000000"/>
                <w:lang w:val="sr-Latn-CS" w:eastAsia="sr-Latn-CS"/>
              </w:rPr>
              <w:t>redmet nabavke</w:t>
            </w:r>
            <w:r>
              <w:rPr>
                <w:rFonts w:ascii="Arial" w:hAnsi="Arial" w:cs="Arial"/>
                <w:b/>
                <w:bCs/>
                <w:color w:val="000000"/>
                <w:lang w:val="sr-Latn-ME" w:eastAsia="sr-Latn-CS"/>
              </w:rPr>
              <w:t>: Bitumen tip/vrsta 50/70, DDP Asfaltna baza naručioca, Cijevna - Podgorica</w:t>
            </w:r>
          </w:p>
        </w:tc>
      </w:tr>
      <w:tr w14:paraId="20581B7F">
        <w:tblPrEx>
          <w:tblCellMar>
            <w:top w:w="0" w:type="dxa"/>
            <w:left w:w="70" w:type="dxa"/>
            <w:bottom w:w="0" w:type="dxa"/>
            <w:right w:w="70" w:type="dxa"/>
          </w:tblCellMar>
        </w:tblPrEx>
        <w:trPr>
          <w:trHeight w:val="1293" w:hRule="atLeast"/>
        </w:trPr>
        <w:tc>
          <w:tcPr>
            <w:tcW w:w="630" w:type="dxa"/>
            <w:tcBorders>
              <w:top w:val="single" w:color="auto" w:sz="8" w:space="0"/>
              <w:left w:val="single" w:color="auto" w:sz="8" w:space="0"/>
              <w:bottom w:val="single" w:color="auto" w:sz="8" w:space="0"/>
              <w:right w:val="single" w:color="auto" w:sz="8" w:space="0"/>
            </w:tcBorders>
            <w:shd w:val="clear" w:color="auto" w:fill="D9D9D9"/>
            <w:vAlign w:val="center"/>
          </w:tcPr>
          <w:p w14:paraId="0AADF805">
            <w:pPr>
              <w:jc w:val="center"/>
              <w:rPr>
                <w:rFonts w:ascii="Arial" w:hAnsi="Arial" w:cs="Arial"/>
                <w:b/>
                <w:bCs/>
                <w:color w:val="000000"/>
                <w:lang w:val="sr-Latn-ME" w:eastAsia="sr-Latn-CS"/>
              </w:rPr>
            </w:pPr>
            <w:r>
              <w:rPr>
                <w:rFonts w:ascii="Arial" w:hAnsi="Arial" w:cs="Arial"/>
                <w:b/>
                <w:bCs/>
                <w:color w:val="000000"/>
                <w:lang w:val="sr-Latn-ME" w:eastAsia="sr-Latn-CS"/>
              </w:rPr>
              <w:t>R.B.</w:t>
            </w:r>
          </w:p>
        </w:tc>
        <w:tc>
          <w:tcPr>
            <w:tcW w:w="2410" w:type="dxa"/>
            <w:tcBorders>
              <w:top w:val="single" w:color="auto" w:sz="8" w:space="0"/>
              <w:left w:val="nil"/>
              <w:bottom w:val="single" w:color="auto" w:sz="8" w:space="0"/>
              <w:right w:val="single" w:color="auto" w:sz="4" w:space="0"/>
            </w:tcBorders>
            <w:shd w:val="clear" w:color="auto" w:fill="D9D9D9"/>
            <w:vAlign w:val="center"/>
          </w:tcPr>
          <w:p w14:paraId="4F1096E8">
            <w:pPr>
              <w:jc w:val="center"/>
              <w:rPr>
                <w:rFonts w:ascii="Arial" w:hAnsi="Arial" w:cs="Arial"/>
                <w:b/>
                <w:bCs/>
                <w:color w:val="000000"/>
                <w:lang w:val="sr-Latn-ME" w:eastAsia="sr-Latn-CS"/>
              </w:rPr>
            </w:pPr>
            <w:r>
              <w:rPr>
                <w:rFonts w:ascii="Arial" w:hAnsi="Arial" w:cs="Arial"/>
                <w:b/>
                <w:bCs/>
                <w:color w:val="000000"/>
                <w:lang w:val="sr-Latn-ME" w:eastAsia="sr-Latn-CS"/>
              </w:rPr>
              <w:t>Vrsta troškova</w:t>
            </w:r>
          </w:p>
        </w:tc>
        <w:tc>
          <w:tcPr>
            <w:tcW w:w="2746" w:type="dxa"/>
            <w:tcBorders>
              <w:top w:val="single" w:color="auto" w:sz="8" w:space="0"/>
              <w:left w:val="single" w:color="auto" w:sz="4" w:space="0"/>
              <w:bottom w:val="single" w:color="auto" w:sz="8" w:space="0"/>
              <w:right w:val="single" w:color="auto" w:sz="4" w:space="0"/>
            </w:tcBorders>
            <w:shd w:val="clear" w:color="auto" w:fill="D9D9D9"/>
            <w:vAlign w:val="center"/>
          </w:tcPr>
          <w:p w14:paraId="4A7A19DF">
            <w:pPr>
              <w:jc w:val="center"/>
              <w:rPr>
                <w:rFonts w:ascii="Arial" w:hAnsi="Arial" w:cs="Arial"/>
                <w:b/>
                <w:bCs/>
                <w:color w:val="000000"/>
                <w:lang w:val="sr-Latn-ME" w:eastAsia="sr-Latn-CS"/>
              </w:rPr>
            </w:pPr>
            <w:r>
              <w:rPr>
                <w:rFonts w:ascii="Arial" w:hAnsi="Arial" w:cs="Arial"/>
                <w:b/>
                <w:bCs/>
                <w:color w:val="000000"/>
                <w:lang w:val="sr-Latn-ME" w:eastAsia="sr-Latn-CS"/>
              </w:rPr>
              <w:t>Cijena po jedinici mjere bez PDV-a</w:t>
            </w:r>
          </w:p>
        </w:tc>
        <w:tc>
          <w:tcPr>
            <w:tcW w:w="3014" w:type="dxa"/>
            <w:tcBorders>
              <w:top w:val="single" w:color="auto" w:sz="8" w:space="0"/>
              <w:left w:val="single" w:color="auto" w:sz="4" w:space="0"/>
              <w:bottom w:val="single" w:color="auto" w:sz="8" w:space="0"/>
              <w:right w:val="single" w:color="auto" w:sz="4" w:space="0"/>
            </w:tcBorders>
            <w:shd w:val="clear" w:color="auto" w:fill="D9D9D9"/>
            <w:vAlign w:val="center"/>
          </w:tcPr>
          <w:p w14:paraId="493F66D0">
            <w:pPr>
              <w:jc w:val="center"/>
              <w:rPr>
                <w:rFonts w:ascii="Arial" w:hAnsi="Arial" w:cs="Arial"/>
                <w:b/>
                <w:bCs/>
                <w:color w:val="000000"/>
                <w:lang w:val="sr-Latn-ME" w:eastAsia="sr-Latn-CS"/>
              </w:rPr>
            </w:pPr>
            <w:r>
              <w:rPr>
                <w:rFonts w:ascii="Arial" w:hAnsi="Arial" w:cs="Arial"/>
                <w:b/>
                <w:bCs/>
                <w:color w:val="000000"/>
                <w:lang w:val="sr-Latn-ME" w:eastAsia="sr-Latn-CS"/>
              </w:rPr>
              <w:t xml:space="preserve"> Cijena po jedinici mjere sa PDV-om</w:t>
            </w:r>
          </w:p>
        </w:tc>
      </w:tr>
      <w:tr w14:paraId="4D923325">
        <w:tblPrEx>
          <w:tblCellMar>
            <w:top w:w="0" w:type="dxa"/>
            <w:left w:w="108" w:type="dxa"/>
            <w:bottom w:w="0" w:type="dxa"/>
            <w:right w:w="108" w:type="dxa"/>
          </w:tblCellMar>
        </w:tblPrEx>
        <w:trPr>
          <w:trHeight w:val="623" w:hRule="atLeast"/>
        </w:trPr>
        <w:tc>
          <w:tcPr>
            <w:tcW w:w="630" w:type="dxa"/>
            <w:tcBorders>
              <w:top w:val="single" w:color="auto" w:sz="8" w:space="0"/>
              <w:left w:val="single" w:color="auto" w:sz="4" w:space="0"/>
              <w:bottom w:val="single" w:color="auto" w:sz="4" w:space="0"/>
              <w:right w:val="single" w:color="auto" w:sz="4" w:space="0"/>
            </w:tcBorders>
            <w:vAlign w:val="center"/>
          </w:tcPr>
          <w:p w14:paraId="6F239A1F">
            <w:pPr>
              <w:jc w:val="center"/>
              <w:rPr>
                <w:rFonts w:ascii="Arial" w:hAnsi="Arial" w:cs="Arial"/>
                <w:color w:val="000000"/>
              </w:rPr>
            </w:pPr>
            <w:r>
              <w:rPr>
                <w:rFonts w:ascii="Arial" w:hAnsi="Arial" w:cs="Arial"/>
                <w:color w:val="000000"/>
              </w:rPr>
              <w:t>1</w:t>
            </w:r>
          </w:p>
        </w:tc>
        <w:tc>
          <w:tcPr>
            <w:tcW w:w="2410" w:type="dxa"/>
            <w:tcBorders>
              <w:top w:val="single" w:color="auto" w:sz="8" w:space="0"/>
              <w:left w:val="nil"/>
              <w:bottom w:val="single" w:color="auto" w:sz="4" w:space="0"/>
              <w:right w:val="single" w:color="auto" w:sz="4" w:space="0"/>
            </w:tcBorders>
            <w:vAlign w:val="center"/>
          </w:tcPr>
          <w:p w14:paraId="43DC7FF0">
            <w:pPr>
              <w:textAlignment w:val="center"/>
              <w:rPr>
                <w:rFonts w:ascii="Arial" w:hAnsi="Arial" w:cs="Arial"/>
                <w:color w:val="000000"/>
                <w:lang w:val="sr-Latn-ME"/>
              </w:rPr>
            </w:pPr>
            <w:r>
              <w:rPr>
                <w:rFonts w:ascii="Arial" w:hAnsi="Arial" w:cs="Arial"/>
                <w:color w:val="000000"/>
                <w:lang w:val="sr-Latn-ME"/>
              </w:rPr>
              <w:t>Prosječna srednja kotacijska cijena za ulje za loženje (</w:t>
            </w:r>
            <w:r>
              <w:rPr>
                <w:rFonts w:ascii="Arial" w:hAnsi="Arial" w:cs="Arial"/>
                <w:color w:val="000000"/>
              </w:rPr>
              <w:t>1.0</w:t>
            </w:r>
            <w:r>
              <w:rPr>
                <w:rFonts w:ascii="Arial" w:hAnsi="Arial" w:cs="Arial"/>
                <w:color w:val="000000"/>
                <w:lang w:val="sr-Latn-ME"/>
              </w:rPr>
              <w:t xml:space="preserve"> PCT prema PCT Platts European Marketscan kotacijama na paritetu FOB Med Italy), za period od 14.10.2024-18.10.2024. godine, obračunata po prosječnom prodajnom kursu USD, za period od 14.10.2024-18.10.2024. godine .</w:t>
            </w:r>
          </w:p>
        </w:tc>
        <w:tc>
          <w:tcPr>
            <w:tcW w:w="2746" w:type="dxa"/>
            <w:tcBorders>
              <w:top w:val="single" w:color="auto" w:sz="8" w:space="0"/>
              <w:left w:val="nil"/>
              <w:bottom w:val="single" w:color="auto" w:sz="4" w:space="0"/>
              <w:right w:val="single" w:color="auto" w:sz="4" w:space="0"/>
            </w:tcBorders>
            <w:vAlign w:val="center"/>
          </w:tcPr>
          <w:p w14:paraId="7D24EA95">
            <w:pPr>
              <w:jc w:val="center"/>
              <w:textAlignment w:val="center"/>
              <w:rPr>
                <w:rFonts w:ascii="Arial" w:hAnsi="Arial" w:cs="Arial"/>
                <w:color w:val="000000"/>
              </w:rPr>
            </w:pPr>
          </w:p>
        </w:tc>
        <w:tc>
          <w:tcPr>
            <w:tcW w:w="3014" w:type="dxa"/>
            <w:tcBorders>
              <w:top w:val="single" w:color="auto" w:sz="8" w:space="0"/>
              <w:left w:val="nil"/>
              <w:bottom w:val="single" w:color="auto" w:sz="4" w:space="0"/>
              <w:right w:val="single" w:color="auto" w:sz="4" w:space="0"/>
            </w:tcBorders>
            <w:vAlign w:val="center"/>
          </w:tcPr>
          <w:p w14:paraId="0C485283">
            <w:pPr>
              <w:jc w:val="center"/>
              <w:rPr>
                <w:rFonts w:ascii="Arial" w:hAnsi="Arial" w:cs="Arial"/>
                <w:color w:val="000000"/>
              </w:rPr>
            </w:pPr>
          </w:p>
        </w:tc>
      </w:tr>
      <w:tr w14:paraId="2455A890">
        <w:tblPrEx>
          <w:tblCellMar>
            <w:top w:w="0" w:type="dxa"/>
            <w:left w:w="108" w:type="dxa"/>
            <w:bottom w:w="0" w:type="dxa"/>
            <w:right w:w="108" w:type="dxa"/>
          </w:tblCellMar>
        </w:tblPrEx>
        <w:trPr>
          <w:trHeight w:val="623" w:hRule="atLeast"/>
        </w:trPr>
        <w:tc>
          <w:tcPr>
            <w:tcW w:w="630" w:type="dxa"/>
            <w:tcBorders>
              <w:top w:val="single" w:color="auto" w:sz="4" w:space="0"/>
              <w:left w:val="single" w:color="auto" w:sz="4" w:space="0"/>
              <w:bottom w:val="single" w:color="auto" w:sz="4" w:space="0"/>
              <w:right w:val="single" w:color="auto" w:sz="4" w:space="0"/>
            </w:tcBorders>
            <w:vAlign w:val="center"/>
          </w:tcPr>
          <w:p w14:paraId="7CC0FE2F">
            <w:pPr>
              <w:jc w:val="center"/>
              <w:rPr>
                <w:rFonts w:ascii="Arial" w:hAnsi="Arial" w:cs="Arial"/>
                <w:color w:val="000000"/>
                <w:lang w:val="sr-Latn-ME"/>
              </w:rPr>
            </w:pPr>
            <w:r>
              <w:rPr>
                <w:rFonts w:ascii="Arial" w:hAnsi="Arial" w:cs="Arial"/>
                <w:color w:val="000000"/>
                <w:lang w:val="sr-Latn-ME"/>
              </w:rPr>
              <w:t>2</w:t>
            </w:r>
          </w:p>
        </w:tc>
        <w:tc>
          <w:tcPr>
            <w:tcW w:w="2410" w:type="dxa"/>
            <w:tcBorders>
              <w:top w:val="single" w:color="auto" w:sz="4" w:space="0"/>
              <w:left w:val="nil"/>
              <w:bottom w:val="single" w:color="auto" w:sz="4" w:space="0"/>
              <w:right w:val="single" w:color="auto" w:sz="4" w:space="0"/>
            </w:tcBorders>
            <w:vAlign w:val="center"/>
          </w:tcPr>
          <w:p w14:paraId="12E458EC">
            <w:pPr>
              <w:textAlignment w:val="center"/>
              <w:rPr>
                <w:rFonts w:ascii="Arial" w:hAnsi="Arial" w:cs="Arial"/>
                <w:color w:val="000000"/>
                <w:lang w:val="sr-Latn-ME"/>
              </w:rPr>
            </w:pPr>
            <w:r>
              <w:rPr>
                <w:rFonts w:ascii="Arial" w:hAnsi="Arial" w:cs="Arial"/>
                <w:color w:val="000000"/>
                <w:lang w:val="sr-Latn-ME"/>
              </w:rPr>
              <w:t>Ostali troškovi</w:t>
            </w:r>
          </w:p>
        </w:tc>
        <w:tc>
          <w:tcPr>
            <w:tcW w:w="2746" w:type="dxa"/>
            <w:tcBorders>
              <w:top w:val="single" w:color="auto" w:sz="4" w:space="0"/>
              <w:left w:val="nil"/>
              <w:bottom w:val="single" w:color="auto" w:sz="4" w:space="0"/>
              <w:right w:val="single" w:color="auto" w:sz="4" w:space="0"/>
            </w:tcBorders>
            <w:vAlign w:val="center"/>
          </w:tcPr>
          <w:p w14:paraId="5D341559">
            <w:pPr>
              <w:jc w:val="center"/>
              <w:textAlignment w:val="center"/>
              <w:rPr>
                <w:rFonts w:ascii="Arial" w:hAnsi="Arial" w:cs="Arial"/>
                <w:color w:val="000000"/>
              </w:rPr>
            </w:pPr>
          </w:p>
        </w:tc>
        <w:tc>
          <w:tcPr>
            <w:tcW w:w="3014" w:type="dxa"/>
            <w:tcBorders>
              <w:top w:val="single" w:color="auto" w:sz="4" w:space="0"/>
              <w:left w:val="nil"/>
              <w:bottom w:val="single" w:color="auto" w:sz="4" w:space="0"/>
              <w:right w:val="single" w:color="auto" w:sz="4" w:space="0"/>
            </w:tcBorders>
          </w:tcPr>
          <w:p w14:paraId="3223D957">
            <w:pPr>
              <w:jc w:val="center"/>
              <w:rPr>
                <w:rFonts w:ascii="Arial" w:hAnsi="Arial" w:cs="Arial"/>
                <w:color w:val="000000"/>
              </w:rPr>
            </w:pPr>
          </w:p>
        </w:tc>
      </w:tr>
      <w:tr w14:paraId="4193678B">
        <w:tblPrEx>
          <w:tblCellMar>
            <w:top w:w="0" w:type="dxa"/>
            <w:left w:w="108" w:type="dxa"/>
            <w:bottom w:w="0" w:type="dxa"/>
            <w:right w:w="108" w:type="dxa"/>
          </w:tblCellMar>
        </w:tblPrEx>
        <w:trPr>
          <w:trHeight w:val="623" w:hRule="atLeast"/>
        </w:trPr>
        <w:tc>
          <w:tcPr>
            <w:tcW w:w="3040" w:type="dxa"/>
            <w:gridSpan w:val="2"/>
            <w:tcBorders>
              <w:top w:val="single" w:color="auto" w:sz="4" w:space="0"/>
              <w:left w:val="single" w:color="auto" w:sz="4" w:space="0"/>
              <w:bottom w:val="single" w:color="auto" w:sz="4" w:space="0"/>
              <w:right w:val="single" w:color="auto" w:sz="4" w:space="0"/>
            </w:tcBorders>
          </w:tcPr>
          <w:p w14:paraId="05305A82">
            <w:pPr>
              <w:textAlignment w:val="center"/>
              <w:rPr>
                <w:rFonts w:ascii="Arial" w:hAnsi="Arial" w:cs="Arial"/>
                <w:color w:val="000000"/>
                <w:lang w:val="sr-Latn-ME"/>
              </w:rPr>
            </w:pPr>
            <w:r>
              <w:rPr>
                <w:rFonts w:ascii="Arial" w:hAnsi="Arial" w:cs="Arial"/>
                <w:color w:val="000000"/>
                <w:lang w:val="sr-Latn-ME"/>
              </w:rPr>
              <w:t>Cijena po jednoj toni bitumena sa svim uračunatim troškovima navedenim u tabeli:</w:t>
            </w:r>
          </w:p>
        </w:tc>
        <w:tc>
          <w:tcPr>
            <w:tcW w:w="2746" w:type="dxa"/>
            <w:tcBorders>
              <w:top w:val="single" w:color="auto" w:sz="4" w:space="0"/>
              <w:left w:val="single" w:color="auto" w:sz="4" w:space="0"/>
              <w:bottom w:val="single" w:color="auto" w:sz="4" w:space="0"/>
              <w:right w:val="single" w:color="auto" w:sz="4" w:space="0"/>
            </w:tcBorders>
            <w:vAlign w:val="center"/>
          </w:tcPr>
          <w:p w14:paraId="2B0CD790">
            <w:pPr>
              <w:jc w:val="center"/>
              <w:textAlignment w:val="center"/>
              <w:rPr>
                <w:rFonts w:ascii="Arial" w:hAnsi="Arial" w:cs="Arial"/>
                <w:color w:val="000000"/>
                <w:lang w:val="sr-Latn-ME"/>
              </w:rPr>
            </w:pPr>
          </w:p>
        </w:tc>
        <w:tc>
          <w:tcPr>
            <w:tcW w:w="3014" w:type="dxa"/>
            <w:tcBorders>
              <w:top w:val="single" w:color="auto" w:sz="4" w:space="0"/>
              <w:left w:val="nil"/>
              <w:bottom w:val="single" w:color="auto" w:sz="4" w:space="0"/>
              <w:right w:val="single" w:color="auto" w:sz="4" w:space="0"/>
            </w:tcBorders>
          </w:tcPr>
          <w:p w14:paraId="26B67AD8">
            <w:pPr>
              <w:jc w:val="center"/>
              <w:rPr>
                <w:rFonts w:ascii="Arial" w:hAnsi="Arial" w:cs="Arial"/>
              </w:rPr>
            </w:pPr>
          </w:p>
        </w:tc>
      </w:tr>
    </w:tbl>
    <w:p w14:paraId="4EF80661">
      <w:pPr>
        <w:jc w:val="both"/>
        <w:rPr>
          <w:rFonts w:ascii="Arial" w:hAnsi="Arial" w:cs="Arial"/>
          <w:color w:val="000000"/>
        </w:rPr>
      </w:pPr>
    </w:p>
    <w:p w14:paraId="1C198AA3">
      <w:pPr>
        <w:jc w:val="both"/>
        <w:rPr>
          <w:rFonts w:ascii="Arial" w:hAnsi="Arial" w:cs="Arial"/>
          <w:color w:val="000000"/>
        </w:rPr>
      </w:pPr>
    </w:p>
    <w:p w14:paraId="1AE84910">
      <w:pPr>
        <w:jc w:val="both"/>
        <w:rPr>
          <w:rFonts w:ascii="Arial" w:hAnsi="Arial" w:cs="Arial"/>
          <w:color w:val="000000"/>
        </w:rPr>
      </w:pPr>
    </w:p>
    <w:p w14:paraId="5C47A6FB">
      <w:pPr>
        <w:jc w:val="both"/>
        <w:rPr>
          <w:rFonts w:ascii="Arial" w:hAnsi="Arial" w:cs="Arial"/>
          <w:color w:val="000000"/>
        </w:rPr>
      </w:pPr>
    </w:p>
    <w:p w14:paraId="43DDBF8E">
      <w:pPr>
        <w:jc w:val="both"/>
        <w:rPr>
          <w:rFonts w:ascii="Arial" w:hAnsi="Arial" w:cs="Arial"/>
          <w:color w:val="000000"/>
        </w:rPr>
      </w:pPr>
    </w:p>
    <w:p w14:paraId="2D0A724B">
      <w:pPr>
        <w:jc w:val="both"/>
        <w:rPr>
          <w:rFonts w:ascii="Arial" w:hAnsi="Arial" w:cs="Arial"/>
          <w:color w:val="000000"/>
        </w:rPr>
      </w:pPr>
    </w:p>
    <w:p w14:paraId="04CF7A92">
      <w:pPr>
        <w:jc w:val="both"/>
        <w:rPr>
          <w:rFonts w:ascii="Arial" w:hAnsi="Arial" w:cs="Arial"/>
          <w:color w:val="000000"/>
        </w:rPr>
      </w:pPr>
    </w:p>
    <w:p w14:paraId="269DE5EB">
      <w:pPr>
        <w:jc w:val="both"/>
        <w:rPr>
          <w:rFonts w:ascii="Arial" w:hAnsi="Arial" w:cs="Arial"/>
          <w:color w:val="000000"/>
        </w:rPr>
      </w:pPr>
    </w:p>
    <w:p w14:paraId="128A28AA">
      <w:pPr>
        <w:jc w:val="both"/>
        <w:rPr>
          <w:rFonts w:ascii="Arial" w:hAnsi="Arial" w:cs="Arial"/>
          <w:color w:val="000000"/>
        </w:rPr>
      </w:pPr>
    </w:p>
    <w:p w14:paraId="5946AF63">
      <w:pPr>
        <w:jc w:val="both"/>
        <w:rPr>
          <w:rFonts w:ascii="Arial" w:hAnsi="Arial" w:cs="Arial"/>
          <w:color w:val="000000"/>
        </w:rPr>
      </w:pPr>
    </w:p>
    <w:p w14:paraId="07C35A8F">
      <w:pPr>
        <w:jc w:val="both"/>
        <w:rPr>
          <w:rFonts w:ascii="Arial" w:hAnsi="Arial" w:cs="Arial"/>
          <w:color w:val="000000"/>
        </w:rPr>
      </w:pPr>
    </w:p>
    <w:p w14:paraId="6C75E182">
      <w:pPr>
        <w:jc w:val="both"/>
        <w:rPr>
          <w:rFonts w:ascii="Arial" w:hAnsi="Arial" w:cs="Arial"/>
          <w:color w:val="000000"/>
        </w:rPr>
      </w:pPr>
    </w:p>
    <w:p w14:paraId="015935F6">
      <w:pPr>
        <w:jc w:val="both"/>
        <w:rPr>
          <w:rFonts w:ascii="Arial" w:hAnsi="Arial" w:cs="Arial"/>
          <w:color w:val="000000"/>
        </w:rPr>
      </w:pPr>
    </w:p>
    <w:p w14:paraId="5677CA0D">
      <w:pPr>
        <w:jc w:val="both"/>
        <w:rPr>
          <w:rFonts w:ascii="Arial" w:hAnsi="Arial" w:cs="Arial"/>
          <w:color w:val="000000"/>
        </w:rPr>
      </w:pPr>
    </w:p>
    <w:p w14:paraId="4C8F2A97">
      <w:pPr>
        <w:jc w:val="both"/>
        <w:rPr>
          <w:rFonts w:ascii="Arial" w:hAnsi="Arial" w:cs="Arial"/>
          <w:color w:val="000000"/>
        </w:rPr>
      </w:pPr>
    </w:p>
    <w:p w14:paraId="2B61CE4E">
      <w:pPr>
        <w:jc w:val="both"/>
        <w:rPr>
          <w:rFonts w:ascii="Arial" w:hAnsi="Arial" w:cs="Arial"/>
          <w:color w:val="000000"/>
        </w:rPr>
      </w:pPr>
    </w:p>
    <w:p w14:paraId="62344BF1">
      <w:pPr>
        <w:jc w:val="both"/>
        <w:rPr>
          <w:rFonts w:ascii="Arial" w:hAnsi="Arial" w:cs="Arial"/>
          <w:color w:val="000000"/>
        </w:rPr>
      </w:pPr>
    </w:p>
    <w:p w14:paraId="0B5252F1">
      <w:pPr>
        <w:jc w:val="both"/>
        <w:rPr>
          <w:rFonts w:ascii="Arial" w:hAnsi="Arial" w:cs="Arial"/>
          <w:color w:val="000000"/>
        </w:rPr>
      </w:pPr>
    </w:p>
    <w:p w14:paraId="70449AB9">
      <w:pPr>
        <w:jc w:val="both"/>
        <w:rPr>
          <w:rFonts w:ascii="Arial" w:hAnsi="Arial" w:cs="Arial"/>
          <w:color w:val="000000"/>
        </w:rPr>
      </w:pPr>
    </w:p>
    <w:p w14:paraId="12F0ADBC">
      <w:pPr>
        <w:jc w:val="both"/>
        <w:rPr>
          <w:rFonts w:ascii="Arial" w:hAnsi="Arial" w:cs="Arial"/>
          <w:color w:val="000000"/>
        </w:rPr>
      </w:pPr>
    </w:p>
    <w:p w14:paraId="3645C8F5">
      <w:pPr>
        <w:jc w:val="both"/>
        <w:rPr>
          <w:rFonts w:ascii="Arial" w:hAnsi="Arial" w:cs="Arial"/>
          <w:color w:val="000000"/>
        </w:rPr>
      </w:pPr>
    </w:p>
    <w:p w14:paraId="2E3B39AB">
      <w:pPr>
        <w:jc w:val="both"/>
        <w:rPr>
          <w:rFonts w:ascii="Arial" w:hAnsi="Arial" w:cs="Arial"/>
          <w:color w:val="000000"/>
        </w:rPr>
      </w:pPr>
    </w:p>
    <w:p w14:paraId="312026B8">
      <w:pPr>
        <w:jc w:val="both"/>
        <w:rPr>
          <w:rFonts w:ascii="Arial" w:hAnsi="Arial" w:cs="Arial"/>
          <w:color w:val="000000"/>
        </w:rPr>
      </w:pPr>
    </w:p>
    <w:p w14:paraId="397A3344">
      <w:pPr>
        <w:jc w:val="both"/>
        <w:rPr>
          <w:rFonts w:ascii="Arial" w:hAnsi="Arial" w:cs="Arial"/>
          <w:color w:val="000000"/>
        </w:rPr>
      </w:pPr>
    </w:p>
    <w:p w14:paraId="200D8A0D">
      <w:pPr>
        <w:jc w:val="both"/>
        <w:rPr>
          <w:rFonts w:ascii="Arial" w:hAnsi="Arial" w:cs="Arial"/>
          <w:color w:val="000000"/>
        </w:rPr>
      </w:pPr>
    </w:p>
    <w:p w14:paraId="4275E01A">
      <w:pPr>
        <w:jc w:val="both"/>
        <w:rPr>
          <w:rFonts w:ascii="Arial" w:hAnsi="Arial" w:cs="Arial"/>
          <w:color w:val="000000"/>
        </w:rPr>
      </w:pPr>
    </w:p>
    <w:p w14:paraId="3F2314F2">
      <w:pPr>
        <w:jc w:val="both"/>
        <w:rPr>
          <w:rFonts w:ascii="Arial" w:hAnsi="Arial" w:cs="Arial"/>
          <w:color w:val="000000"/>
        </w:rPr>
      </w:pPr>
    </w:p>
    <w:p w14:paraId="3FE7570A">
      <w:pPr>
        <w:jc w:val="both"/>
        <w:rPr>
          <w:rFonts w:ascii="Arial" w:hAnsi="Arial" w:cs="Arial"/>
          <w:color w:val="000000"/>
        </w:rPr>
      </w:pPr>
    </w:p>
    <w:p w14:paraId="2902ED48">
      <w:pPr>
        <w:jc w:val="both"/>
        <w:rPr>
          <w:rFonts w:ascii="Arial" w:hAnsi="Arial" w:cs="Arial"/>
          <w:color w:val="000000"/>
        </w:rPr>
      </w:pPr>
    </w:p>
    <w:p w14:paraId="7055A40B">
      <w:pPr>
        <w:jc w:val="both"/>
        <w:rPr>
          <w:rFonts w:ascii="Arial" w:hAnsi="Arial" w:cs="Arial"/>
          <w:color w:val="000000"/>
        </w:rPr>
      </w:pPr>
    </w:p>
    <w:p w14:paraId="20831F60">
      <w:pPr>
        <w:jc w:val="both"/>
        <w:rPr>
          <w:rFonts w:ascii="Arial" w:hAnsi="Arial" w:cs="Arial"/>
          <w:color w:val="000000"/>
        </w:rPr>
      </w:pPr>
    </w:p>
    <w:p w14:paraId="61577692">
      <w:pPr>
        <w:jc w:val="both"/>
        <w:rPr>
          <w:rFonts w:ascii="Arial" w:hAnsi="Arial" w:cs="Arial"/>
          <w:color w:val="000000"/>
        </w:rPr>
      </w:pPr>
    </w:p>
    <w:p w14:paraId="736CB0ED">
      <w:pPr>
        <w:jc w:val="both"/>
        <w:rPr>
          <w:rFonts w:ascii="Arial" w:hAnsi="Arial" w:cs="Arial"/>
          <w:color w:val="000000"/>
        </w:rPr>
      </w:pPr>
    </w:p>
    <w:p w14:paraId="2BCC77E6">
      <w:pPr>
        <w:jc w:val="both"/>
        <w:rPr>
          <w:rFonts w:ascii="Arial" w:hAnsi="Arial" w:cs="Arial"/>
          <w:color w:val="000000"/>
        </w:rPr>
      </w:pPr>
    </w:p>
    <w:p w14:paraId="5E207983">
      <w:pPr>
        <w:jc w:val="both"/>
        <w:rPr>
          <w:rFonts w:ascii="Arial" w:hAnsi="Arial" w:cs="Arial"/>
          <w:color w:val="000000"/>
          <w:lang w:val="sr-Latn-ME"/>
        </w:rPr>
      </w:pPr>
      <w:r>
        <w:rPr>
          <w:rFonts w:ascii="Arial" w:hAnsi="Arial" w:cs="Arial"/>
          <w:color w:val="000000"/>
        </w:rPr>
        <w:t xml:space="preserve">                                                                           Ovla</w:t>
      </w:r>
      <w:r>
        <w:rPr>
          <w:rFonts w:ascii="Arial" w:hAnsi="Arial" w:cs="Arial"/>
          <w:color w:val="000000"/>
          <w:lang w:val="sr-Latn-ME"/>
        </w:rPr>
        <w:t>šćeno lice ponuđača:</w:t>
      </w:r>
    </w:p>
    <w:p w14:paraId="1EE270F5">
      <w:pPr>
        <w:jc w:val="both"/>
        <w:rPr>
          <w:rFonts w:ascii="Arial" w:hAnsi="Arial" w:cs="Arial"/>
          <w:color w:val="000000"/>
          <w:lang w:val="sr-Latn-ME"/>
        </w:rPr>
      </w:pPr>
      <w:r>
        <w:rPr>
          <w:rFonts w:ascii="Arial" w:hAnsi="Arial" w:cs="Arial"/>
          <w:color w:val="000000"/>
          <w:lang w:val="sr-Latn-ME"/>
        </w:rPr>
        <w:t xml:space="preserve">                                               M.P.</w:t>
      </w:r>
    </w:p>
    <w:p w14:paraId="70141CBA">
      <w:pPr>
        <w:spacing w:line="259" w:lineRule="auto"/>
        <w:rPr>
          <w:rFonts w:ascii="Arial" w:hAnsi="Arial" w:eastAsia="sans-serif" w:cs="Arial"/>
        </w:rPr>
      </w:pPr>
      <w:r>
        <w:rPr>
          <w:rFonts w:ascii="Arial" w:hAnsi="Arial" w:cs="Arial"/>
          <w:color w:val="000000"/>
          <w:lang w:val="sr-Latn-ME"/>
        </w:rPr>
        <w:t xml:space="preserve">                                                                         </w:t>
      </w:r>
      <w:r>
        <w:rPr>
          <w:b/>
        </w:rPr>
        <w:t xml:space="preserve"> _________________________ </w:t>
      </w:r>
    </w:p>
    <w:p w14:paraId="7ADA0D9F">
      <w:pPr>
        <w:jc w:val="both"/>
        <w:rPr>
          <w:rFonts w:ascii="Arial" w:hAnsi="Arial" w:eastAsia="sans-serif" w:cs="Arial"/>
        </w:rPr>
      </w:pPr>
    </w:p>
    <w:p w14:paraId="1A498FD0">
      <w:pPr>
        <w:keepNext/>
        <w:keepLines/>
        <w:numPr>
          <w:ilvl w:val="0"/>
          <w:numId w:val="8"/>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14:paraId="131EEC91">
      <w:pPr>
        <w:jc w:val="both"/>
        <w:rPr>
          <w:rFonts w:ascii="Arial" w:hAnsi="Arial" w:cs="Arial"/>
        </w:rPr>
      </w:pPr>
    </w:p>
    <w:p w14:paraId="24662D86">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7EED4604">
      <w:pPr>
        <w:jc w:val="both"/>
        <w:rPr>
          <w:rFonts w:ascii="Arial" w:hAnsi="Arial" w:cs="Arial"/>
        </w:rPr>
      </w:pPr>
    </w:p>
    <w:p w14:paraId="6FA40D92">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14:paraId="03A99FA4">
      <w:pPr>
        <w:jc w:val="both"/>
        <w:rPr>
          <w:rFonts w:ascii="Arial" w:hAnsi="Arial" w:cs="Arial"/>
        </w:rPr>
      </w:pPr>
    </w:p>
    <w:p w14:paraId="1D5E04F6">
      <w:pPr>
        <w:jc w:val="both"/>
        <w:rPr>
          <w:rFonts w:ascii="Arial" w:hAnsi="Arial" w:cs="Arial"/>
          <w:color w:val="000000"/>
        </w:rPr>
      </w:pPr>
      <w:r>
        <w:rPr>
          <w:rFonts w:ascii="Arial" w:hAnsi="Arial" w:cs="Arial"/>
          <w:color w:val="000000"/>
        </w:rPr>
        <w:t>Zahtjev se podnosi isključivo putem ESJN-a.</w:t>
      </w:r>
    </w:p>
    <w:p w14:paraId="3AF1158D">
      <w:pPr>
        <w:jc w:val="both"/>
        <w:rPr>
          <w:rFonts w:ascii="Arial" w:hAnsi="Arial" w:cs="Arial"/>
          <w:color w:val="000000"/>
        </w:rPr>
      </w:pPr>
    </w:p>
    <w:p w14:paraId="4DD4A74D">
      <w:pPr>
        <w:jc w:val="both"/>
        <w:rPr>
          <w:rFonts w:ascii="Arial" w:hAnsi="Arial" w:cs="Arial"/>
          <w:color w:val="000000"/>
        </w:rPr>
      </w:pPr>
    </w:p>
    <w:p w14:paraId="72231015">
      <w:pPr>
        <w:jc w:val="both"/>
        <w:rPr>
          <w:rFonts w:ascii="Arial" w:hAnsi="Arial" w:cs="Arial"/>
          <w:color w:val="000000"/>
        </w:rPr>
      </w:pPr>
    </w:p>
    <w:p w14:paraId="462CF109">
      <w:pPr>
        <w:jc w:val="both"/>
        <w:rPr>
          <w:rFonts w:ascii="Arial" w:hAnsi="Arial" w:cs="Arial"/>
          <w:color w:val="000000"/>
        </w:rPr>
      </w:pPr>
    </w:p>
    <w:p w14:paraId="4527C667">
      <w:pPr>
        <w:jc w:val="both"/>
        <w:rPr>
          <w:rFonts w:ascii="Arial" w:hAnsi="Arial" w:cs="Arial"/>
          <w:color w:val="000000"/>
        </w:rPr>
      </w:pPr>
    </w:p>
    <w:p w14:paraId="21F338FC">
      <w:pPr>
        <w:jc w:val="both"/>
        <w:rPr>
          <w:rFonts w:ascii="Arial" w:hAnsi="Arial" w:cs="Arial"/>
          <w:color w:val="000000"/>
        </w:rPr>
      </w:pPr>
    </w:p>
    <w:p w14:paraId="0ADDCDAD">
      <w:pPr>
        <w:jc w:val="both"/>
        <w:rPr>
          <w:rFonts w:ascii="Arial" w:hAnsi="Arial" w:cs="Arial"/>
          <w:color w:val="000000"/>
        </w:rPr>
      </w:pPr>
    </w:p>
    <w:p w14:paraId="7A282D2D">
      <w:pPr>
        <w:jc w:val="both"/>
        <w:rPr>
          <w:rFonts w:ascii="Arial" w:hAnsi="Arial" w:cs="Arial"/>
          <w:color w:val="000000"/>
        </w:rPr>
      </w:pPr>
    </w:p>
    <w:p w14:paraId="725A148D">
      <w:pPr>
        <w:jc w:val="both"/>
        <w:rPr>
          <w:rFonts w:ascii="Arial" w:hAnsi="Arial" w:cs="Arial"/>
          <w:color w:val="000000"/>
        </w:rPr>
      </w:pPr>
    </w:p>
    <w:p w14:paraId="04D35325">
      <w:pPr>
        <w:jc w:val="both"/>
        <w:rPr>
          <w:rFonts w:ascii="Arial" w:hAnsi="Arial" w:cs="Arial"/>
          <w:color w:val="000000"/>
        </w:rPr>
      </w:pPr>
    </w:p>
    <w:p w14:paraId="3A2977E7">
      <w:pPr>
        <w:jc w:val="both"/>
        <w:rPr>
          <w:rFonts w:ascii="Arial" w:hAnsi="Arial" w:cs="Arial"/>
          <w:color w:val="000000"/>
        </w:rPr>
      </w:pPr>
    </w:p>
    <w:p w14:paraId="63E99B01">
      <w:pPr>
        <w:jc w:val="both"/>
        <w:rPr>
          <w:rFonts w:ascii="Arial" w:hAnsi="Arial" w:cs="Arial"/>
          <w:color w:val="000000"/>
        </w:rPr>
      </w:pPr>
    </w:p>
    <w:p w14:paraId="13EC5726">
      <w:pPr>
        <w:jc w:val="both"/>
        <w:rPr>
          <w:rFonts w:ascii="Arial" w:hAnsi="Arial" w:cs="Arial"/>
          <w:color w:val="000000"/>
        </w:rPr>
      </w:pPr>
    </w:p>
    <w:p w14:paraId="6CD801DA">
      <w:pPr>
        <w:jc w:val="both"/>
        <w:rPr>
          <w:rFonts w:ascii="Arial" w:hAnsi="Arial" w:cs="Arial"/>
          <w:color w:val="000000"/>
        </w:rPr>
      </w:pPr>
    </w:p>
    <w:p w14:paraId="35CBF91D">
      <w:pPr>
        <w:jc w:val="both"/>
        <w:rPr>
          <w:rFonts w:ascii="Arial" w:hAnsi="Arial" w:cs="Arial"/>
          <w:color w:val="000000"/>
        </w:rPr>
      </w:pPr>
    </w:p>
    <w:p w14:paraId="6D209D2E">
      <w:pPr>
        <w:jc w:val="both"/>
        <w:rPr>
          <w:rFonts w:ascii="Arial" w:hAnsi="Arial" w:cs="Arial"/>
          <w:color w:val="000000"/>
        </w:rPr>
      </w:pPr>
    </w:p>
    <w:p w14:paraId="173AF123">
      <w:pPr>
        <w:jc w:val="both"/>
        <w:rPr>
          <w:rFonts w:ascii="Arial" w:hAnsi="Arial" w:cs="Arial"/>
          <w:color w:val="000000"/>
        </w:rPr>
      </w:pPr>
    </w:p>
    <w:p w14:paraId="4B419645">
      <w:pPr>
        <w:jc w:val="both"/>
        <w:rPr>
          <w:rFonts w:ascii="Arial" w:hAnsi="Arial" w:cs="Arial"/>
          <w:color w:val="000000"/>
        </w:rPr>
      </w:pPr>
    </w:p>
    <w:p w14:paraId="2E2EA4A4">
      <w:pPr>
        <w:jc w:val="both"/>
        <w:rPr>
          <w:rFonts w:ascii="Arial" w:hAnsi="Arial" w:cs="Arial"/>
          <w:color w:val="000000"/>
        </w:rPr>
      </w:pPr>
    </w:p>
    <w:p w14:paraId="4E6EFDAC">
      <w:pPr>
        <w:jc w:val="both"/>
        <w:rPr>
          <w:rFonts w:ascii="Arial" w:hAnsi="Arial" w:cs="Arial"/>
          <w:color w:val="000000"/>
        </w:rPr>
      </w:pPr>
    </w:p>
    <w:p w14:paraId="13067E03">
      <w:pPr>
        <w:jc w:val="both"/>
        <w:rPr>
          <w:rFonts w:ascii="Arial" w:hAnsi="Arial" w:cs="Arial"/>
          <w:color w:val="000000"/>
        </w:rPr>
      </w:pPr>
    </w:p>
    <w:p w14:paraId="7B1CFA59">
      <w:pPr>
        <w:jc w:val="both"/>
        <w:rPr>
          <w:rFonts w:ascii="Arial" w:hAnsi="Arial" w:cs="Arial"/>
          <w:color w:val="000000"/>
        </w:rPr>
      </w:pPr>
    </w:p>
    <w:p w14:paraId="21BD308E">
      <w:pPr>
        <w:jc w:val="both"/>
        <w:rPr>
          <w:rFonts w:ascii="Arial" w:hAnsi="Arial" w:cs="Arial"/>
          <w:color w:val="000000"/>
        </w:rPr>
      </w:pPr>
    </w:p>
    <w:p w14:paraId="71FC73C0">
      <w:pPr>
        <w:jc w:val="both"/>
        <w:rPr>
          <w:rFonts w:ascii="Arial" w:hAnsi="Arial" w:cs="Arial"/>
          <w:color w:val="000000"/>
        </w:rPr>
      </w:pPr>
    </w:p>
    <w:p w14:paraId="7CF1877B">
      <w:pPr>
        <w:jc w:val="both"/>
        <w:rPr>
          <w:rFonts w:ascii="Arial" w:hAnsi="Arial" w:cs="Arial"/>
          <w:color w:val="000000"/>
        </w:rPr>
      </w:pPr>
    </w:p>
    <w:p w14:paraId="58E767E7">
      <w:pPr>
        <w:jc w:val="both"/>
        <w:rPr>
          <w:rFonts w:ascii="Arial" w:hAnsi="Arial" w:cs="Arial"/>
          <w:color w:val="000000"/>
        </w:rPr>
      </w:pPr>
    </w:p>
    <w:p w14:paraId="4089EA40">
      <w:pPr>
        <w:jc w:val="both"/>
        <w:rPr>
          <w:rFonts w:ascii="Arial" w:hAnsi="Arial" w:cs="Arial"/>
          <w:color w:val="000000"/>
        </w:rPr>
      </w:pPr>
    </w:p>
    <w:p w14:paraId="05EC7138">
      <w:pPr>
        <w:jc w:val="both"/>
        <w:rPr>
          <w:rFonts w:ascii="Arial" w:hAnsi="Arial" w:cs="Arial"/>
          <w:color w:val="000000"/>
        </w:rPr>
      </w:pPr>
    </w:p>
    <w:p w14:paraId="5AC02E42">
      <w:pPr>
        <w:jc w:val="both"/>
        <w:rPr>
          <w:rFonts w:ascii="Arial" w:hAnsi="Arial" w:cs="Arial"/>
          <w:color w:val="000000"/>
        </w:rPr>
      </w:pPr>
    </w:p>
    <w:p w14:paraId="19BB8DAB">
      <w:pPr>
        <w:jc w:val="both"/>
        <w:rPr>
          <w:rFonts w:ascii="Arial" w:hAnsi="Arial" w:cs="Arial"/>
          <w:color w:val="000000"/>
        </w:rPr>
      </w:pPr>
    </w:p>
    <w:p w14:paraId="4B369DFB">
      <w:pPr>
        <w:jc w:val="both"/>
        <w:rPr>
          <w:rFonts w:ascii="Arial" w:hAnsi="Arial" w:cs="Arial"/>
          <w:color w:val="000000"/>
        </w:rPr>
      </w:pPr>
    </w:p>
    <w:p w14:paraId="09577D41">
      <w:pPr>
        <w:keepNext/>
        <w:keepLines/>
        <w:numPr>
          <w:ilvl w:val="0"/>
          <w:numId w:val="8"/>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416180136"/>
      <w:bookmarkStart w:id="15" w:name="_Toc508349235"/>
      <w:bookmarkStart w:id="16" w:name="_Toc62730567"/>
      <w:r>
        <w:rPr>
          <w:rFonts w:ascii="Arial" w:hAnsi="Arial" w:cs="Arial"/>
          <w:b/>
        </w:rPr>
        <w:t>IZJAVA NARUČIOCA O NEPOSTOJANJU SUKOBA INTERESA</w:t>
      </w:r>
      <w:bookmarkEnd w:id="14"/>
      <w:bookmarkEnd w:id="15"/>
      <w:bookmarkEnd w:id="16"/>
    </w:p>
    <w:p w14:paraId="7C6CDCA2">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775931A1">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11131</w:t>
      </w:r>
    </w:p>
    <w:p w14:paraId="33D1D43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07.10.2024.godine</w:t>
      </w:r>
    </w:p>
    <w:p w14:paraId="13C71D05">
      <w:pPr>
        <w:jc w:val="both"/>
        <w:rPr>
          <w:rFonts w:asciiTheme="minorHAnsi" w:hAnsiTheme="minorHAnsi" w:cstheme="minorHAnsi"/>
          <w:b/>
          <w:bCs/>
          <w:color w:val="000000"/>
          <w:sz w:val="22"/>
          <w:szCs w:val="22"/>
        </w:rPr>
      </w:pPr>
    </w:p>
    <w:p w14:paraId="58B116E4">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w:t>
      </w:r>
      <w:r>
        <w:rPr>
          <w:rFonts w:asciiTheme="minorHAnsi" w:hAnsiTheme="minorHAnsi" w:cstheme="minorHAnsi"/>
          <w:color w:val="000000"/>
          <w:sz w:val="22"/>
          <w:szCs w:val="22"/>
        </w:rPr>
        <w:t xml:space="preserve">), </w:t>
      </w:r>
    </w:p>
    <w:p w14:paraId="1CC80D02">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1A7D9F2">
      <w:pPr>
        <w:tabs>
          <w:tab w:val="left" w:pos="3290"/>
        </w:tabs>
        <w:jc w:val="both"/>
        <w:rPr>
          <w:rFonts w:asciiTheme="minorHAnsi" w:hAnsiTheme="minorHAnsi" w:cstheme="minorHAnsi"/>
          <w:color w:val="000000"/>
          <w:sz w:val="22"/>
          <w:szCs w:val="22"/>
        </w:rPr>
      </w:pPr>
    </w:p>
    <w:p w14:paraId="263F1CEC">
      <w:pPr>
        <w:tabs>
          <w:tab w:val="left" w:pos="3290"/>
        </w:tabs>
        <w:jc w:val="both"/>
        <w:rPr>
          <w:rFonts w:asciiTheme="minorHAnsi" w:hAnsiTheme="minorHAnsi" w:cstheme="minorHAnsi"/>
          <w:b/>
          <w:bCs/>
          <w:color w:val="000000"/>
          <w:sz w:val="22"/>
          <w:szCs w:val="22"/>
        </w:rPr>
      </w:pPr>
      <w:r>
        <w:rPr>
          <w:rFonts w:asciiTheme="minorHAnsi" w:hAnsiTheme="minorHAnsi" w:cstheme="minorHAnsi"/>
          <w:color w:val="000000"/>
          <w:sz w:val="22"/>
          <w:szCs w:val="22"/>
        </w:rPr>
        <w:t>da u postupku javne nabavke redni broj 96 iz Plana javn</w:t>
      </w:r>
      <w:r>
        <w:rPr>
          <w:rFonts w:asciiTheme="minorHAnsi" w:hAnsiTheme="minorHAnsi" w:cstheme="minorHAnsi"/>
          <w:color w:val="000000"/>
          <w:sz w:val="22"/>
          <w:szCs w:val="22"/>
          <w:lang w:val="sr-Latn-ME"/>
        </w:rPr>
        <w:t>ih</w:t>
      </w:r>
      <w:r>
        <w:rPr>
          <w:rFonts w:asciiTheme="minorHAnsi" w:hAnsiTheme="minorHAnsi" w:cstheme="minorHAnsi"/>
          <w:color w:val="000000"/>
          <w:sz w:val="22"/>
          <w:szCs w:val="22"/>
        </w:rPr>
        <w:t xml:space="preserve"> nabavk</w:t>
      </w:r>
      <w:r>
        <w:rPr>
          <w:rFonts w:asciiTheme="minorHAnsi" w:hAnsiTheme="minorHAnsi" w:cstheme="minorHAnsi"/>
          <w:color w:val="000000"/>
          <w:sz w:val="22"/>
          <w:szCs w:val="22"/>
          <w:lang w:val="sr-Latn-ME"/>
        </w:rPr>
        <w:t>i</w:t>
      </w:r>
      <w:r>
        <w:rPr>
          <w:rFonts w:asciiTheme="minorHAnsi" w:hAnsiTheme="minorHAnsi" w:cstheme="minorHAnsi"/>
          <w:color w:val="000000"/>
          <w:sz w:val="22"/>
          <w:szCs w:val="22"/>
        </w:rPr>
        <w:t xml:space="preserve"> </w:t>
      </w:r>
      <w:r>
        <w:rPr>
          <w:rFonts w:asciiTheme="minorHAnsi" w:hAnsiTheme="minorHAnsi" w:cstheme="minorHAnsi"/>
          <w:sz w:val="22"/>
          <w:szCs w:val="22"/>
        </w:rPr>
        <w:t>br.</w:t>
      </w:r>
      <w:r>
        <w:rPr>
          <w:rFonts w:asciiTheme="minorHAnsi" w:hAnsiTheme="minorHAnsi" w:cstheme="minorHAnsi"/>
          <w:sz w:val="22"/>
          <w:szCs w:val="22"/>
          <w:lang w:val="sr-Latn-ME"/>
        </w:rPr>
        <w:t xml:space="preserve"> 18362,</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lang w:val="sr-Latn-ME"/>
        </w:rPr>
        <w:t>Direktorata za politiku javnih nabavki,</w:t>
      </w:r>
      <w:r>
        <w:rPr>
          <w:rFonts w:asciiTheme="minorHAnsi" w:hAnsiTheme="minorHAnsi" w:cstheme="minorHAnsi"/>
          <w:sz w:val="22"/>
          <w:szCs w:val="22"/>
          <w:lang w:val="pl-PL"/>
        </w:rPr>
        <w:t xml:space="preserve"> dana </w:t>
      </w:r>
      <w:r>
        <w:rPr>
          <w:rFonts w:asciiTheme="minorHAnsi" w:hAnsiTheme="minorHAnsi" w:cstheme="minorHAnsi"/>
          <w:sz w:val="22"/>
          <w:szCs w:val="22"/>
          <w:lang w:val="sr-Latn-ME"/>
        </w:rPr>
        <w:t>24</w:t>
      </w:r>
      <w:r>
        <w:rPr>
          <w:rFonts w:asciiTheme="minorHAnsi" w:hAnsiTheme="minorHAnsi" w:cstheme="minorHAnsi"/>
          <w:sz w:val="22"/>
          <w:szCs w:val="22"/>
          <w:lang w:val="pl-PL"/>
        </w:rPr>
        <w:t>.</w:t>
      </w:r>
      <w:r>
        <w:rPr>
          <w:rFonts w:asciiTheme="minorHAnsi" w:hAnsiTheme="minorHAnsi" w:cstheme="minorHAnsi"/>
          <w:sz w:val="22"/>
          <w:szCs w:val="22"/>
        </w:rPr>
        <w:t xml:space="preserve"> </w:t>
      </w:r>
      <w:r>
        <w:rPr>
          <w:rFonts w:asciiTheme="minorHAnsi" w:hAnsiTheme="minorHAnsi" w:cstheme="minorHAnsi"/>
          <w:sz w:val="22"/>
          <w:szCs w:val="22"/>
          <w:lang w:val="sr-Latn-ME"/>
        </w:rPr>
        <w:t xml:space="preserve">Januara </w:t>
      </w:r>
      <w:r>
        <w:rPr>
          <w:rFonts w:asciiTheme="minorHAnsi" w:hAnsiTheme="minorHAnsi" w:cstheme="minorHAnsi"/>
          <w:sz w:val="22"/>
          <w:szCs w:val="22"/>
          <w:lang w:val="pl-PL"/>
        </w:rPr>
        <w:t>20</w:t>
      </w:r>
      <w:r>
        <w:rPr>
          <w:rFonts w:asciiTheme="minorHAnsi" w:hAnsiTheme="minorHAnsi" w:cstheme="minorHAnsi"/>
          <w:sz w:val="22"/>
          <w:szCs w:val="22"/>
          <w:lang w:val="sr-Latn-ME"/>
        </w:rPr>
        <w:t>24</w:t>
      </w:r>
      <w:r>
        <w:rPr>
          <w:rFonts w:asciiTheme="minorHAnsi" w:hAnsiTheme="minorHAnsi" w:cstheme="minorHAnsi"/>
          <w:sz w:val="22"/>
          <w:szCs w:val="22"/>
          <w:lang w:val="pl-PL"/>
        </w:rPr>
        <w:t>.godine</w:t>
      </w:r>
      <w:r>
        <w:rPr>
          <w:rFonts w:asciiTheme="minorHAnsi" w:hAnsiTheme="minorHAnsi" w:cstheme="minorHAnsi"/>
          <w:sz w:val="22"/>
          <w:szCs w:val="22"/>
          <w:lang w:val="sl-SI"/>
        </w:rPr>
        <w:t>,</w:t>
      </w:r>
      <w:r>
        <w:rPr>
          <w:rFonts w:asciiTheme="minorHAnsi" w:hAnsiTheme="minorHAnsi" w:cstheme="minorHAnsi"/>
          <w:sz w:val="22"/>
          <w:szCs w:val="22"/>
          <w:lang w:val="sr-Latn-ME"/>
        </w:rPr>
        <w:t xml:space="preserve"> </w:t>
      </w:r>
      <w:r>
        <w:rPr>
          <w:rFonts w:asciiTheme="minorHAnsi" w:hAnsiTheme="minorHAnsi" w:cstheme="minorHAnsi"/>
          <w:sz w:val="22"/>
          <w:szCs w:val="22"/>
        </w:rPr>
        <w:t xml:space="preserve">pod brojem </w:t>
      </w:r>
      <w:r>
        <w:rPr>
          <w:rFonts w:asciiTheme="minorHAnsi" w:hAnsiTheme="minorHAnsi" w:cstheme="minorHAnsi"/>
          <w:sz w:val="22"/>
          <w:szCs w:val="22"/>
          <w:lang w:val="sr-Latn-ME"/>
        </w:rPr>
        <w:t>301/4</w:t>
      </w:r>
      <w:r>
        <w:rPr>
          <w:rFonts w:asciiTheme="minorHAnsi" w:hAnsiTheme="minorHAnsi" w:cstheme="minorHAnsi"/>
          <w:sz w:val="22"/>
          <w:szCs w:val="22"/>
        </w:rPr>
        <w:t>,</w:t>
      </w:r>
      <w:r>
        <w:rPr>
          <w:rFonts w:asciiTheme="minorHAnsi" w:hAnsiTheme="minorHAnsi" w:cstheme="minorHAnsi"/>
          <w:color w:val="000000"/>
          <w:sz w:val="22"/>
          <w:szCs w:val="22"/>
        </w:rPr>
        <w:t xml:space="preserve"> za nabavku robe- Nabavka </w:t>
      </w:r>
      <w:r>
        <w:rPr>
          <w:rFonts w:asciiTheme="minorHAnsi" w:hAnsiTheme="minorHAnsi" w:cstheme="minorHAnsi"/>
          <w:color w:val="000000"/>
          <w:sz w:val="22"/>
          <w:szCs w:val="22"/>
          <w:lang w:val="sr-Latn-ME"/>
        </w:rPr>
        <w:t>i isporuka bitumena,</w:t>
      </w:r>
      <w:r>
        <w:rPr>
          <w:rFonts w:asciiTheme="minorHAnsi" w:hAnsiTheme="minorHAnsi" w:cstheme="minorHAnsi"/>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5E456239">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Ovlašćeno lice naručioca </w:t>
      </w:r>
    </w:p>
    <w:p w14:paraId="26D61267">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Izvršni direktor</w:t>
      </w:r>
    </w:p>
    <w:p w14:paraId="7D8CD042">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1E1E61D3">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0E9B9A39">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02782386">
      <w:pPr>
        <w:ind w:firstLine="1134"/>
        <w:jc w:val="right"/>
        <w:rPr>
          <w:rFonts w:eastAsia="Calibri" w:asciiTheme="minorHAnsi" w:hAnsiTheme="minorHAnsi" w:cstheme="minorHAnsi"/>
          <w:sz w:val="22"/>
          <w:szCs w:val="22"/>
        </w:rPr>
      </w:pPr>
      <w:r>
        <w:rPr>
          <w:rFonts w:asciiTheme="minorHAnsi" w:hAnsiTheme="minorHAnsi" w:cstheme="minorHAnsi"/>
          <w:color w:val="000000"/>
          <w:sz w:val="22"/>
          <w:szCs w:val="22"/>
        </w:rPr>
        <w:t>Službenik za javne nabavke</w:t>
      </w:r>
      <w:r>
        <w:rPr>
          <w:rFonts w:eastAsia="Calibri" w:asciiTheme="minorHAnsi" w:hAnsiTheme="minorHAnsi" w:cstheme="minorHAnsi"/>
          <w:sz w:val="22"/>
          <w:szCs w:val="22"/>
        </w:rPr>
        <w:t xml:space="preserve"> </w:t>
      </w:r>
    </w:p>
    <w:p w14:paraId="55F7829A">
      <w:pPr>
        <w:wordWrap w:val="0"/>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mr Miloš Vučelić</w:t>
      </w:r>
    </w:p>
    <w:p w14:paraId="135A2D42">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05870942">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287AD902">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Lice koje je učestvovalo u planiranju javne nabavke </w:t>
      </w:r>
    </w:p>
    <w:p w14:paraId="199AB98C">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Veselin Čvorović, dipl.inž.maš.</w:t>
      </w:r>
    </w:p>
    <w:p w14:paraId="40F240FB">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28B3C08A">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 xml:space="preserve"> s.r.</w:t>
      </w:r>
      <w:r>
        <w:rPr>
          <w:rFonts w:asciiTheme="minorHAnsi" w:hAnsiTheme="minorHAnsi" w:cstheme="minorHAnsi"/>
          <w:iCs/>
          <w:color w:val="000000"/>
          <w:sz w:val="22"/>
          <w:szCs w:val="22"/>
        </w:rPr>
        <w:t xml:space="preserve">                </w:t>
      </w:r>
    </w:p>
    <w:p w14:paraId="12EE426E">
      <w:pPr>
        <w:tabs>
          <w:tab w:val="left" w:pos="3290"/>
        </w:tabs>
        <w:ind w:firstLine="1134"/>
        <w:jc w:val="right"/>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Član komisije </w:t>
      </w:r>
      <w:r>
        <w:rPr>
          <w:rFonts w:asciiTheme="minorHAnsi" w:hAnsiTheme="minorHAnsi" w:cstheme="minorHAnsi"/>
          <w:sz w:val="22"/>
          <w:szCs w:val="22"/>
        </w:rPr>
        <w:t>za sprovođenje postupka javne nabavk</w:t>
      </w:r>
      <w:r>
        <w:rPr>
          <w:rFonts w:asciiTheme="minorHAnsi" w:hAnsiTheme="minorHAnsi" w:cstheme="minorHAnsi"/>
          <w:iCs/>
          <w:color w:val="000000"/>
          <w:sz w:val="22"/>
          <w:szCs w:val="22"/>
        </w:rPr>
        <w:t>e</w:t>
      </w:r>
    </w:p>
    <w:p w14:paraId="597736B3">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Aleksandra Popović, dipl.menag. </w:t>
      </w:r>
    </w:p>
    <w:p w14:paraId="4D7A4878">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14:paraId="673AFC75">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 xml:space="preserve"> s.r.</w:t>
      </w:r>
    </w:p>
    <w:p w14:paraId="5CF3FEAD">
      <w:pPr>
        <w:tabs>
          <w:tab w:val="left" w:pos="3290"/>
        </w:tabs>
        <w:ind w:firstLine="1134"/>
        <w:jc w:val="right"/>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Član komisije </w:t>
      </w:r>
      <w:r>
        <w:rPr>
          <w:rFonts w:asciiTheme="minorHAnsi" w:hAnsiTheme="minorHAnsi" w:cstheme="minorHAnsi"/>
          <w:sz w:val="22"/>
          <w:szCs w:val="22"/>
        </w:rPr>
        <w:t>za sprovođenje postupka javne nabavk</w:t>
      </w:r>
      <w:r>
        <w:rPr>
          <w:rFonts w:asciiTheme="minorHAnsi" w:hAnsiTheme="minorHAnsi" w:cstheme="minorHAnsi"/>
          <w:iCs/>
          <w:color w:val="000000"/>
          <w:sz w:val="22"/>
          <w:szCs w:val="22"/>
        </w:rPr>
        <w:t>e</w:t>
      </w:r>
    </w:p>
    <w:p w14:paraId="177E1B73">
      <w:pPr>
        <w:tabs>
          <w:tab w:val="left" w:pos="3290"/>
        </w:tabs>
        <w:ind w:firstLine="1134"/>
        <w:jc w:val="right"/>
        <w:rPr>
          <w:rFonts w:asciiTheme="minorHAnsi" w:hAnsiTheme="minorHAnsi" w:cstheme="minorHAnsi"/>
          <w:iCs/>
          <w:color w:val="000000"/>
          <w:sz w:val="22"/>
          <w:szCs w:val="22"/>
          <w:lang w:val="sr-Latn-ME"/>
        </w:rPr>
      </w:pPr>
      <w:r>
        <w:rPr>
          <w:rFonts w:eastAsia="Calibri" w:asciiTheme="minorHAnsi" w:hAnsiTheme="minorHAnsi" w:cstheme="minorHAnsi"/>
          <w:sz w:val="22"/>
          <w:szCs w:val="22"/>
          <w:lang w:val="sr-Latn-ME"/>
        </w:rPr>
        <w:t>Veljo Čadjenović,dipl.pravnik.</w:t>
      </w:r>
      <w:r>
        <w:rPr>
          <w:rFonts w:asciiTheme="minorHAnsi" w:hAnsiTheme="minorHAnsi" w:cstheme="minorHAnsi"/>
          <w:iCs/>
          <w:color w:val="000000"/>
          <w:sz w:val="22"/>
          <w:szCs w:val="22"/>
          <w:lang w:val="sr-Latn-ME"/>
        </w:rPr>
        <w:t xml:space="preserve"> </w:t>
      </w:r>
    </w:p>
    <w:p w14:paraId="5BEFD421">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1AA9EF86">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50D4F391">
      <w:pPr>
        <w:jc w:val="right"/>
        <w:rPr>
          <w:rFonts w:asciiTheme="minorHAnsi" w:hAnsiTheme="minorHAnsi" w:cstheme="minorHAnsi"/>
          <w:color w:val="000000"/>
          <w:sz w:val="22"/>
          <w:szCs w:val="22"/>
        </w:rPr>
      </w:pPr>
      <w:r>
        <w:rPr>
          <w:rFonts w:asciiTheme="minorHAnsi" w:hAnsiTheme="minorHAnsi" w:cstheme="minorHAnsi"/>
          <w:color w:val="000000"/>
          <w:sz w:val="22"/>
          <w:szCs w:val="22"/>
        </w:rPr>
        <w:t>Član komisije za sprovođenje postupka javne nabavke</w:t>
      </w:r>
    </w:p>
    <w:p w14:paraId="1490EB1A">
      <w:pPr>
        <w:jc w:val="right"/>
        <w:rPr>
          <w:rFonts w:asciiTheme="minorHAnsi" w:hAnsiTheme="minorHAnsi" w:cstheme="minorHAnsi"/>
          <w:color w:val="000000"/>
          <w:sz w:val="22"/>
          <w:szCs w:val="22"/>
        </w:rPr>
      </w:pPr>
      <w:r>
        <w:rPr>
          <w:rFonts w:asciiTheme="minorHAnsi" w:hAnsiTheme="minorHAnsi" w:cstheme="minorHAnsi"/>
          <w:color w:val="000000"/>
          <w:sz w:val="22"/>
          <w:szCs w:val="22"/>
        </w:rPr>
        <w:t>mr Slobodan Mandić</w:t>
      </w:r>
    </w:p>
    <w:p w14:paraId="61F6117C">
      <w:pPr>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                                                                                                                                                                                                                                 s.r.</w:t>
      </w:r>
      <w:r>
        <w:rPr>
          <w:rFonts w:asciiTheme="minorHAnsi" w:hAnsiTheme="minorHAnsi" w:cstheme="minorHAnsi"/>
          <w:b/>
          <w:iCs/>
          <w:color w:val="000000"/>
          <w:sz w:val="22"/>
          <w:szCs w:val="22"/>
        </w:rPr>
        <w:t xml:space="preserve"> </w:t>
      </w:r>
    </w:p>
    <w:p w14:paraId="59339947">
      <w:pPr>
        <w:tabs>
          <w:tab w:val="left" w:pos="3290"/>
        </w:tabs>
        <w:ind w:firstLine="1134"/>
        <w:jc w:val="right"/>
        <w:rPr>
          <w:rFonts w:asciiTheme="minorHAnsi" w:hAnsiTheme="minorHAnsi" w:cstheme="minorHAnsi"/>
          <w:bCs/>
          <w:iCs/>
          <w:color w:val="000000"/>
          <w:sz w:val="22"/>
          <w:szCs w:val="22"/>
        </w:rPr>
      </w:pPr>
      <w:r>
        <w:rPr>
          <w:rFonts w:asciiTheme="minorHAnsi" w:hAnsiTheme="minorHAnsi" w:cstheme="minorHAnsi"/>
          <w:bCs/>
          <w:iCs/>
          <w:color w:val="000000"/>
          <w:sz w:val="22"/>
          <w:szCs w:val="22"/>
        </w:rPr>
        <w:t xml:space="preserve">Član komisije </w:t>
      </w:r>
      <w:r>
        <w:rPr>
          <w:rFonts w:asciiTheme="minorHAnsi" w:hAnsiTheme="minorHAnsi" w:cstheme="minorHAnsi"/>
          <w:bCs/>
          <w:sz w:val="22"/>
          <w:szCs w:val="22"/>
        </w:rPr>
        <w:t>za sprovođenje postupka javne nabavk</w:t>
      </w:r>
      <w:r>
        <w:rPr>
          <w:rFonts w:asciiTheme="minorHAnsi" w:hAnsiTheme="minorHAnsi" w:cstheme="minorHAnsi"/>
          <w:bCs/>
          <w:iCs/>
          <w:color w:val="000000"/>
          <w:sz w:val="22"/>
          <w:szCs w:val="22"/>
        </w:rPr>
        <w:t>e</w:t>
      </w:r>
    </w:p>
    <w:p w14:paraId="2B8C1F26">
      <w:pPr>
        <w:tabs>
          <w:tab w:val="left" w:pos="3290"/>
        </w:tabs>
        <w:ind w:firstLine="1134"/>
        <w:jc w:val="right"/>
        <w:rPr>
          <w:rFonts w:asciiTheme="minorHAnsi" w:hAnsiTheme="minorHAnsi" w:cstheme="minorHAnsi"/>
          <w:bCs/>
          <w:iCs/>
          <w:color w:val="000000"/>
          <w:sz w:val="22"/>
          <w:szCs w:val="22"/>
        </w:rPr>
      </w:pPr>
      <w:r>
        <w:rPr>
          <w:rFonts w:asciiTheme="minorHAnsi" w:hAnsiTheme="minorHAnsi" w:cstheme="minorHAnsi"/>
          <w:bCs/>
          <w:iCs/>
          <w:color w:val="000000"/>
          <w:sz w:val="22"/>
          <w:szCs w:val="22"/>
        </w:rPr>
        <w:t>mr Miloš Vučelić</w:t>
      </w:r>
    </w:p>
    <w:p w14:paraId="3993ACE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6900A7D6">
      <w:pPr>
        <w:tabs>
          <w:tab w:val="left" w:pos="3290"/>
        </w:tabs>
        <w:ind w:firstLine="1134"/>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34DBA0EC">
      <w:pPr>
        <w:tabs>
          <w:tab w:val="left" w:pos="3290"/>
        </w:tabs>
        <w:ind w:firstLine="1134"/>
        <w:jc w:val="right"/>
        <w:rPr>
          <w:rFonts w:asciiTheme="minorHAnsi" w:hAnsiTheme="minorHAnsi" w:cstheme="minorHAnsi"/>
          <w:bCs/>
          <w:iCs/>
          <w:color w:val="000000"/>
          <w:sz w:val="22"/>
          <w:szCs w:val="22"/>
        </w:rPr>
      </w:pPr>
      <w:r>
        <w:rPr>
          <w:rFonts w:asciiTheme="minorHAnsi" w:hAnsiTheme="minorHAnsi" w:cstheme="minorHAnsi"/>
          <w:bCs/>
          <w:iCs/>
          <w:color w:val="000000"/>
          <w:sz w:val="22"/>
          <w:szCs w:val="22"/>
        </w:rPr>
        <w:t xml:space="preserve">Član komisije </w:t>
      </w:r>
      <w:r>
        <w:rPr>
          <w:rFonts w:asciiTheme="minorHAnsi" w:hAnsiTheme="minorHAnsi" w:cstheme="minorHAnsi"/>
          <w:bCs/>
          <w:sz w:val="22"/>
          <w:szCs w:val="22"/>
        </w:rPr>
        <w:t>za sprovođenje postupka javne nabavk</w:t>
      </w:r>
      <w:r>
        <w:rPr>
          <w:rFonts w:asciiTheme="minorHAnsi" w:hAnsiTheme="minorHAnsi" w:cstheme="minorHAnsi"/>
          <w:bCs/>
          <w:iCs/>
          <w:color w:val="000000"/>
          <w:sz w:val="22"/>
          <w:szCs w:val="22"/>
        </w:rPr>
        <w:t>e</w:t>
      </w:r>
    </w:p>
    <w:p w14:paraId="68B947FC">
      <w:pPr>
        <w:tabs>
          <w:tab w:val="left" w:pos="3290"/>
        </w:tabs>
        <w:ind w:firstLine="1134"/>
        <w:jc w:val="right"/>
        <w:rPr>
          <w:rFonts w:asciiTheme="minorHAnsi" w:hAnsiTheme="minorHAnsi" w:cstheme="minorHAnsi"/>
          <w:bCs/>
          <w:iCs/>
          <w:color w:val="000000"/>
          <w:sz w:val="22"/>
          <w:szCs w:val="22"/>
          <w:lang w:val="sr-Latn-ME"/>
        </w:rPr>
      </w:pPr>
      <w:r>
        <w:rPr>
          <w:rFonts w:eastAsia="Calibri" w:asciiTheme="minorHAnsi" w:hAnsiTheme="minorHAnsi" w:cstheme="minorHAnsi"/>
          <w:bCs/>
          <w:sz w:val="22"/>
          <w:szCs w:val="22"/>
          <w:lang w:val="sr-Latn-ME"/>
        </w:rPr>
        <w:t>Veselin Čvorović, dipl.inž.maš.</w:t>
      </w:r>
    </w:p>
    <w:p w14:paraId="270B8EFA">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E34FDF6">
      <w:pPr>
        <w:jc w:val="both"/>
        <w:rPr>
          <w:rFonts w:asciiTheme="minorHAnsi" w:hAnsiTheme="minorHAnsi" w:cstheme="minorHAnsi"/>
          <w:bCs/>
          <w:i/>
          <w:iCs/>
          <w:color w:val="000000"/>
          <w:sz w:val="22"/>
          <w:szCs w:val="22"/>
          <w:lang w:val="sr-Latn-ME"/>
        </w:rPr>
      </w:pPr>
      <w:r>
        <w:rPr>
          <w:rFonts w:asciiTheme="minorHAnsi" w:hAnsiTheme="minorHAnsi" w:cstheme="minorHAnsi"/>
          <w:bCs/>
          <w:i/>
          <w:iCs/>
          <w:color w:val="000000"/>
          <w:sz w:val="22"/>
          <w:szCs w:val="22"/>
        </w:rPr>
        <w:t xml:space="preserve">                                                                                                                                                                                    </w:t>
      </w:r>
      <w:r>
        <w:rPr>
          <w:rFonts w:asciiTheme="minorHAnsi" w:hAnsiTheme="minorHAnsi" w:cstheme="minorHAnsi"/>
          <w:bCs/>
          <w:i/>
          <w:iCs/>
          <w:color w:val="000000"/>
          <w:sz w:val="22"/>
          <w:szCs w:val="22"/>
          <w:lang w:val="sr-Latn-ME"/>
        </w:rPr>
        <w:t xml:space="preserve"> </w:t>
      </w:r>
      <w:r>
        <w:rPr>
          <w:rFonts w:asciiTheme="minorHAnsi" w:hAnsiTheme="minorHAnsi" w:cstheme="minorHAnsi"/>
          <w:bCs/>
          <w:i/>
          <w:iCs/>
          <w:color w:val="000000"/>
          <w:sz w:val="22"/>
          <w:szCs w:val="22"/>
        </w:rPr>
        <w:t>s.r.</w:t>
      </w:r>
      <w:r>
        <w:rPr>
          <w:rFonts w:asciiTheme="minorHAnsi" w:hAnsiTheme="minorHAnsi" w:cstheme="minorHAnsi"/>
          <w:bCs/>
          <w:i/>
          <w:iCs/>
          <w:color w:val="000000"/>
          <w:sz w:val="22"/>
          <w:szCs w:val="22"/>
          <w:lang w:val="sr-Latn-ME"/>
        </w:rPr>
        <w:t xml:space="preserve">      </w:t>
      </w:r>
    </w:p>
    <w:p w14:paraId="312BBBEA">
      <w:pPr>
        <w:rPr>
          <w:rFonts w:asciiTheme="minorHAnsi" w:hAnsiTheme="minorHAnsi" w:cstheme="minorHAnsi"/>
          <w:bCs/>
          <w:i/>
          <w:iCs/>
          <w:color w:val="000000"/>
          <w:sz w:val="22"/>
          <w:szCs w:val="22"/>
          <w:lang w:val="sr-Latn-ME"/>
        </w:rPr>
      </w:pPr>
      <w:r>
        <w:rPr>
          <w:rFonts w:asciiTheme="minorHAnsi" w:hAnsiTheme="minorHAnsi" w:cstheme="minorHAnsi"/>
          <w:bCs/>
          <w:i/>
          <w:iCs/>
          <w:color w:val="000000"/>
          <w:sz w:val="22"/>
          <w:szCs w:val="22"/>
          <w:lang w:val="sr-Latn-ME"/>
        </w:rPr>
        <w:br w:type="page"/>
      </w:r>
    </w:p>
    <w:p w14:paraId="11FF9079">
      <w:pPr>
        <w:keepNext/>
        <w:keepLines/>
        <w:numPr>
          <w:ilvl w:val="0"/>
          <w:numId w:val="8"/>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14563E16">
      <w:pPr>
        <w:tabs>
          <w:tab w:val="left" w:pos="5760"/>
        </w:tabs>
        <w:jc w:val="center"/>
        <w:rPr>
          <w:rFonts w:ascii="Arial" w:hAnsi="Arial" w:cs="Arial"/>
          <w:color w:val="000000"/>
        </w:rPr>
      </w:pPr>
    </w:p>
    <w:p w14:paraId="4B989A73">
      <w:pPr>
        <w:tabs>
          <w:tab w:val="left" w:pos="5760"/>
        </w:tabs>
        <w:jc w:val="center"/>
        <w:rPr>
          <w:rFonts w:ascii="Arial" w:hAnsi="Arial" w:cs="Arial"/>
          <w:color w:val="000000"/>
        </w:rPr>
      </w:pPr>
    </w:p>
    <w:p w14:paraId="3869FA0E">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54AAC17A">
      <w:pPr>
        <w:pStyle w:val="11"/>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35CD4FB8">
      <w:pPr>
        <w:pStyle w:val="11"/>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0781CFD">
      <w:pPr>
        <w:pStyle w:val="11"/>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3AFCD2E7">
      <w:pPr>
        <w:tabs>
          <w:tab w:val="left" w:pos="5760"/>
        </w:tabs>
        <w:jc w:val="both"/>
        <w:rPr>
          <w:rFonts w:ascii="Arial" w:hAnsi="Arial" w:cs="Arial"/>
          <w:color w:val="000000"/>
          <w:lang w:val="sr-Latn-ME"/>
        </w:rPr>
      </w:pPr>
    </w:p>
    <w:p w14:paraId="1033BC37">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2BC84AB8">
      <w:pPr>
        <w:autoSpaceDE w:val="0"/>
        <w:autoSpaceDN w:val="0"/>
        <w:adjustRightInd w:val="0"/>
        <w:ind w:firstLine="567"/>
        <w:jc w:val="both"/>
        <w:rPr>
          <w:rFonts w:ascii="Arial" w:hAnsi="Arial" w:cs="Arial"/>
          <w:color w:val="000000"/>
          <w:lang w:val="sr-Latn-ME"/>
        </w:rPr>
      </w:pPr>
    </w:p>
    <w:p w14:paraId="3DE74C49">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D666562">
      <w:pPr>
        <w:tabs>
          <w:tab w:val="left" w:pos="5760"/>
        </w:tabs>
        <w:ind w:firstLine="567"/>
        <w:jc w:val="both"/>
        <w:rPr>
          <w:rFonts w:ascii="Arial" w:hAnsi="Arial" w:cs="Arial"/>
          <w:color w:val="000000"/>
          <w:lang w:val="sr-Latn-ME"/>
        </w:rPr>
      </w:pPr>
    </w:p>
    <w:p w14:paraId="0C4C4AC7">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65DD769A">
      <w:pPr>
        <w:tabs>
          <w:tab w:val="left" w:pos="5760"/>
        </w:tabs>
        <w:ind w:firstLine="567"/>
        <w:jc w:val="both"/>
        <w:rPr>
          <w:rFonts w:ascii="Arial" w:hAnsi="Arial" w:cs="Arial"/>
          <w:color w:val="000000"/>
          <w:lang w:val="sr-Latn-ME"/>
        </w:rPr>
      </w:pPr>
    </w:p>
    <w:p w14:paraId="7C1BE8A1">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8"/>
          <w:rFonts w:ascii="Arial" w:hAnsi="Arial" w:cs="Arial"/>
          <w:lang w:val="sr-Latn-ME"/>
        </w:rPr>
        <w:t>http://www.kontrola-nabavki.me/</w:t>
      </w:r>
      <w:r>
        <w:rPr>
          <w:rStyle w:val="8"/>
          <w:rFonts w:ascii="Arial" w:hAnsi="Arial" w:cs="Arial"/>
          <w:lang w:val="sr-Latn-ME"/>
        </w:rPr>
        <w:fldChar w:fldCharType="end"/>
      </w:r>
      <w:r>
        <w:rPr>
          <w:rFonts w:ascii="Arial" w:hAnsi="Arial" w:cs="Arial"/>
          <w:color w:val="000000"/>
          <w:lang w:val="sr-Latn-ME"/>
        </w:rPr>
        <w:t>.“.</w:t>
      </w:r>
    </w:p>
    <w:p w14:paraId="55B85DE6"/>
    <w:p w14:paraId="6008E3A8">
      <w:pPr>
        <w:jc w:val="both"/>
      </w:pPr>
    </w:p>
    <w:sectPr>
      <w:pgSz w:w="12240" w:h="15840"/>
      <w:pgMar w:top="1417" w:right="1417" w:bottom="1417" w:left="1417" w:header="144" w:footer="14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1F079E53">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251AAD3">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12131DDF">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026DB6DB">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460C9493">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BAC9AE7">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57BF760B">
      <w:pPr>
        <w:autoSpaceDE w:val="0"/>
        <w:autoSpaceDN w:val="0"/>
        <w:adjustRightInd w:val="0"/>
        <w:contextualSpacing/>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14:paraId="67207403">
      <w:pPr>
        <w:pStyle w:val="6"/>
        <w:contextualSpacing/>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14:paraId="630F8622">
      <w:pPr>
        <w:pStyle w:val="6"/>
        <w:contextualSpacing/>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6599A788">
      <w:pPr>
        <w:pStyle w:val="6"/>
        <w:jc w:val="both"/>
        <w:rPr>
          <w:rFonts w:ascii="Arial" w:hAnsi="Arial" w:cs="Arial"/>
          <w:sz w:val="14"/>
          <w:szCs w:val="14"/>
        </w:rPr>
      </w:pPr>
      <w:r>
        <w:rPr>
          <w:rStyle w:val="5"/>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2F0DDDFE">
      <w:pPr>
        <w:jc w:val="both"/>
        <w:rPr>
          <w:rFonts w:ascii="Arial" w:hAnsi="Arial" w:cs="Arial"/>
          <w:color w:val="000000"/>
          <w:sz w:val="16"/>
          <w:szCs w:val="16"/>
        </w:rPr>
      </w:pPr>
      <w:r>
        <w:rPr>
          <w:rStyle w:val="5"/>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
    <w:nsid w:val="4532F077"/>
    <w:multiLevelType w:val="singleLevel"/>
    <w:tmpl w:val="4532F077"/>
    <w:lvl w:ilvl="0" w:tentative="0">
      <w:start w:val="1"/>
      <w:numFmt w:val="decimal"/>
      <w:suff w:val="space"/>
      <w:lvlText w:val="%1)"/>
      <w:lvlJc w:val="left"/>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B5B4477"/>
    <w:multiLevelType w:val="multilevel"/>
    <w:tmpl w:val="6B5B4477"/>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noPunctuationKerning w:val="1"/>
  <w:characterSpacingControl w:val="doNotCompress"/>
  <w:footnotePr>
    <w:footnote w:id="22"/>
    <w:footnote w:id="23"/>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10A88"/>
    <w:rsid w:val="000845CE"/>
    <w:rsid w:val="001110FD"/>
    <w:rsid w:val="001B1A1D"/>
    <w:rsid w:val="00265BDA"/>
    <w:rsid w:val="002C1DF7"/>
    <w:rsid w:val="002C3291"/>
    <w:rsid w:val="004A7F47"/>
    <w:rsid w:val="00530914"/>
    <w:rsid w:val="00533099"/>
    <w:rsid w:val="005B0AB0"/>
    <w:rsid w:val="00676534"/>
    <w:rsid w:val="00691C76"/>
    <w:rsid w:val="006C0ECB"/>
    <w:rsid w:val="006C7C6E"/>
    <w:rsid w:val="00704748"/>
    <w:rsid w:val="007517B8"/>
    <w:rsid w:val="00844E7E"/>
    <w:rsid w:val="008C7FBE"/>
    <w:rsid w:val="00A033AC"/>
    <w:rsid w:val="00AC1C0B"/>
    <w:rsid w:val="00AC3A64"/>
    <w:rsid w:val="00B00D28"/>
    <w:rsid w:val="00BB2F09"/>
    <w:rsid w:val="00BC12A6"/>
    <w:rsid w:val="00C4258F"/>
    <w:rsid w:val="00C77FE3"/>
    <w:rsid w:val="00CB7DD4"/>
    <w:rsid w:val="00CD3536"/>
    <w:rsid w:val="00DE1AC2"/>
    <w:rsid w:val="00EE50EB"/>
    <w:rsid w:val="00FA7AE8"/>
    <w:rsid w:val="00FB3E41"/>
    <w:rsid w:val="00FB6B9A"/>
    <w:rsid w:val="010467A1"/>
    <w:rsid w:val="0182654C"/>
    <w:rsid w:val="01A677D7"/>
    <w:rsid w:val="02153BB4"/>
    <w:rsid w:val="02F632E0"/>
    <w:rsid w:val="03072609"/>
    <w:rsid w:val="03740749"/>
    <w:rsid w:val="047D6AC0"/>
    <w:rsid w:val="0704058A"/>
    <w:rsid w:val="08021077"/>
    <w:rsid w:val="0882267F"/>
    <w:rsid w:val="09BD1444"/>
    <w:rsid w:val="09C84CD6"/>
    <w:rsid w:val="0A054415"/>
    <w:rsid w:val="0B2A50B3"/>
    <w:rsid w:val="0B5A60E7"/>
    <w:rsid w:val="0CDF54F2"/>
    <w:rsid w:val="0F3570D4"/>
    <w:rsid w:val="0F94211D"/>
    <w:rsid w:val="104C382C"/>
    <w:rsid w:val="10AD7E95"/>
    <w:rsid w:val="1199230C"/>
    <w:rsid w:val="119A56B6"/>
    <w:rsid w:val="129C348E"/>
    <w:rsid w:val="12BA46A8"/>
    <w:rsid w:val="12E82000"/>
    <w:rsid w:val="13AB6B06"/>
    <w:rsid w:val="13B528C6"/>
    <w:rsid w:val="143B675F"/>
    <w:rsid w:val="14A764D8"/>
    <w:rsid w:val="14CC51E3"/>
    <w:rsid w:val="15E92B64"/>
    <w:rsid w:val="167A20EE"/>
    <w:rsid w:val="16946B78"/>
    <w:rsid w:val="16A268E5"/>
    <w:rsid w:val="16CD5BE6"/>
    <w:rsid w:val="17D3768B"/>
    <w:rsid w:val="186E045C"/>
    <w:rsid w:val="18873593"/>
    <w:rsid w:val="1FD257A9"/>
    <w:rsid w:val="1FFC12EA"/>
    <w:rsid w:val="204609CE"/>
    <w:rsid w:val="20BD5F79"/>
    <w:rsid w:val="216453A6"/>
    <w:rsid w:val="21D02A2F"/>
    <w:rsid w:val="21F7390F"/>
    <w:rsid w:val="22FE5CD5"/>
    <w:rsid w:val="23FF0219"/>
    <w:rsid w:val="241F5F34"/>
    <w:rsid w:val="246D799A"/>
    <w:rsid w:val="2945261F"/>
    <w:rsid w:val="2BE07D12"/>
    <w:rsid w:val="2D7F5B60"/>
    <w:rsid w:val="2E0317A5"/>
    <w:rsid w:val="2E312AA7"/>
    <w:rsid w:val="2F52325C"/>
    <w:rsid w:val="311F2ED7"/>
    <w:rsid w:val="32A85B6B"/>
    <w:rsid w:val="32B4220A"/>
    <w:rsid w:val="32FD564D"/>
    <w:rsid w:val="339662D2"/>
    <w:rsid w:val="33CA38CE"/>
    <w:rsid w:val="34470052"/>
    <w:rsid w:val="34C55315"/>
    <w:rsid w:val="35714746"/>
    <w:rsid w:val="37386C54"/>
    <w:rsid w:val="37B7245C"/>
    <w:rsid w:val="37F91FB1"/>
    <w:rsid w:val="381260C4"/>
    <w:rsid w:val="38C45315"/>
    <w:rsid w:val="39513104"/>
    <w:rsid w:val="3B23102C"/>
    <w:rsid w:val="3B97548F"/>
    <w:rsid w:val="3BB02335"/>
    <w:rsid w:val="3CE96503"/>
    <w:rsid w:val="3D694E77"/>
    <w:rsid w:val="3D6A795E"/>
    <w:rsid w:val="3DBA4175"/>
    <w:rsid w:val="3DFD76EB"/>
    <w:rsid w:val="3DFF5494"/>
    <w:rsid w:val="3F5D6B63"/>
    <w:rsid w:val="40BD51B0"/>
    <w:rsid w:val="4136343A"/>
    <w:rsid w:val="417530D5"/>
    <w:rsid w:val="41EA2122"/>
    <w:rsid w:val="45F95D9F"/>
    <w:rsid w:val="46B41FA9"/>
    <w:rsid w:val="470D1349"/>
    <w:rsid w:val="494263AF"/>
    <w:rsid w:val="49C66D3D"/>
    <w:rsid w:val="4A3D172B"/>
    <w:rsid w:val="4B5C0247"/>
    <w:rsid w:val="4B7F5814"/>
    <w:rsid w:val="4C3A12B7"/>
    <w:rsid w:val="4E89289B"/>
    <w:rsid w:val="4F42634C"/>
    <w:rsid w:val="4FA26D69"/>
    <w:rsid w:val="51AC22D6"/>
    <w:rsid w:val="52606C37"/>
    <w:rsid w:val="52CA6EA2"/>
    <w:rsid w:val="53EC1D2A"/>
    <w:rsid w:val="53F513BE"/>
    <w:rsid w:val="544A53F9"/>
    <w:rsid w:val="544F6952"/>
    <w:rsid w:val="546B49DC"/>
    <w:rsid w:val="54C00DE0"/>
    <w:rsid w:val="54FA58A1"/>
    <w:rsid w:val="553B6EBD"/>
    <w:rsid w:val="55D5176B"/>
    <w:rsid w:val="57203FDD"/>
    <w:rsid w:val="57B76D0C"/>
    <w:rsid w:val="587E502A"/>
    <w:rsid w:val="592179C3"/>
    <w:rsid w:val="5B215ACE"/>
    <w:rsid w:val="5B9A79C5"/>
    <w:rsid w:val="5CC02939"/>
    <w:rsid w:val="5D526D60"/>
    <w:rsid w:val="5D6B4D01"/>
    <w:rsid w:val="5E063299"/>
    <w:rsid w:val="5FD42B18"/>
    <w:rsid w:val="60034C1C"/>
    <w:rsid w:val="60285EA0"/>
    <w:rsid w:val="60754C13"/>
    <w:rsid w:val="60A64A45"/>
    <w:rsid w:val="61B168FB"/>
    <w:rsid w:val="633223A9"/>
    <w:rsid w:val="6408331E"/>
    <w:rsid w:val="64E50CD5"/>
    <w:rsid w:val="669C24AC"/>
    <w:rsid w:val="66C11F13"/>
    <w:rsid w:val="66C15722"/>
    <w:rsid w:val="6701149E"/>
    <w:rsid w:val="673D04F4"/>
    <w:rsid w:val="6772447A"/>
    <w:rsid w:val="68F63F17"/>
    <w:rsid w:val="695D5F23"/>
    <w:rsid w:val="697F1B3E"/>
    <w:rsid w:val="6E832D09"/>
    <w:rsid w:val="6F136DCF"/>
    <w:rsid w:val="6F2A0EF1"/>
    <w:rsid w:val="702E4A5E"/>
    <w:rsid w:val="70473640"/>
    <w:rsid w:val="716C7B3D"/>
    <w:rsid w:val="728C1131"/>
    <w:rsid w:val="74230CD8"/>
    <w:rsid w:val="74757D73"/>
    <w:rsid w:val="749F638C"/>
    <w:rsid w:val="75235A27"/>
    <w:rsid w:val="75897D86"/>
    <w:rsid w:val="763C778B"/>
    <w:rsid w:val="764D1B55"/>
    <w:rsid w:val="78A82663"/>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pPr>
  </w:style>
  <w:style w:type="character" w:styleId="5">
    <w:name w:val="footnote reference"/>
    <w:unhideWhenUsed/>
    <w:qFormat/>
    <w:uiPriority w:val="99"/>
    <w:rPr>
      <w:vertAlign w:val="superscript"/>
    </w:rPr>
  </w:style>
  <w:style w:type="paragraph" w:styleId="6">
    <w:name w:val="footnote text"/>
    <w:basedOn w:val="1"/>
    <w:link w:val="10"/>
    <w:unhideWhenUsed/>
    <w:qFormat/>
    <w:uiPriority w:val="99"/>
    <w:rPr>
      <w:rFonts w:ascii="Calibri" w:hAnsi="Calibri" w:eastAsia="Calibri"/>
      <w:sz w:val="20"/>
      <w:szCs w:val="20"/>
    </w:rPr>
  </w:style>
  <w:style w:type="paragraph" w:styleId="7">
    <w:name w:val="header"/>
    <w:basedOn w:val="1"/>
    <w:link w:val="12"/>
    <w:unhideWhenUsed/>
    <w:qFormat/>
    <w:uiPriority w:val="99"/>
    <w:pPr>
      <w:tabs>
        <w:tab w:val="center" w:pos="4680"/>
        <w:tab w:val="right" w:pos="9360"/>
      </w:tabs>
    </w:pPr>
  </w:style>
  <w:style w:type="character" w:styleId="8">
    <w:name w:val="Hyperlink"/>
    <w:qFormat/>
    <w:uiPriority w:val="99"/>
    <w:rPr>
      <w:color w:val="0000FF"/>
      <w:u w:val="single"/>
    </w:rPr>
  </w:style>
  <w:style w:type="paragraph" w:styleId="9">
    <w:name w:val="Normal (Web)"/>
    <w:basedOn w:val="1"/>
    <w:semiHidden/>
    <w:unhideWhenUsed/>
    <w:qFormat/>
    <w:uiPriority w:val="99"/>
  </w:style>
  <w:style w:type="character" w:customStyle="1" w:styleId="10">
    <w:name w:val="Footnote Text Char"/>
    <w:basedOn w:val="2"/>
    <w:link w:val="6"/>
    <w:qFormat/>
    <w:uiPriority w:val="99"/>
    <w:rPr>
      <w:rFonts w:ascii="Calibri" w:hAnsi="Calibri" w:eastAsia="Calibri" w:cs="Times New Roman"/>
      <w:sz w:val="20"/>
      <w:szCs w:val="20"/>
    </w:rPr>
  </w:style>
  <w:style w:type="paragraph" w:customStyle="1" w:styleId="11">
    <w:name w:val="T30X"/>
    <w:basedOn w:val="1"/>
    <w:qFormat/>
    <w:uiPriority w:val="99"/>
    <w:pPr>
      <w:autoSpaceDE w:val="0"/>
      <w:autoSpaceDN w:val="0"/>
      <w:adjustRightInd w:val="0"/>
      <w:spacing w:before="60" w:after="60"/>
      <w:ind w:firstLine="283"/>
      <w:jc w:val="both"/>
    </w:pPr>
    <w:rPr>
      <w:color w:val="000000"/>
      <w:sz w:val="22"/>
      <w:szCs w:val="22"/>
    </w:rPr>
  </w:style>
  <w:style w:type="character" w:customStyle="1" w:styleId="12">
    <w:name w:val="Header Char"/>
    <w:basedOn w:val="2"/>
    <w:link w:val="7"/>
    <w:qFormat/>
    <w:uiPriority w:val="99"/>
    <w:rPr>
      <w:rFonts w:eastAsia="Times New Roman"/>
      <w:sz w:val="24"/>
      <w:szCs w:val="24"/>
    </w:rPr>
  </w:style>
  <w:style w:type="character" w:customStyle="1" w:styleId="13">
    <w:name w:val="Footer Char"/>
    <w:basedOn w:val="2"/>
    <w:link w:val="4"/>
    <w:qFormat/>
    <w:uiPriority w:val="99"/>
    <w:rPr>
      <w:rFonts w:eastAsia="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C2BB-1E6D-4F7A-A5B7-6D61403CC4FE}">
  <ds:schemaRefs/>
</ds:datastoreItem>
</file>

<file path=docProps/app.xml><?xml version="1.0" encoding="utf-8"?>
<Properties xmlns="http://schemas.openxmlformats.org/officeDocument/2006/extended-properties" xmlns:vt="http://schemas.openxmlformats.org/officeDocument/2006/docPropsVTypes">
  <Template>Normal</Template>
  <Pages>12</Pages>
  <Words>2966</Words>
  <Characters>16912</Characters>
  <Lines>140</Lines>
  <Paragraphs>39</Paragraphs>
  <TotalTime>103</TotalTime>
  <ScaleCrop>false</ScaleCrop>
  <LinksUpToDate>false</LinksUpToDate>
  <CharactersWithSpaces>19839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2024-02-05T10:58:00Z</dcterms:created>
  <dc:creator>aleksandar.pavlicevi</dc:creator>
  <cp:lastModifiedBy>WPS_1710147653</cp:lastModifiedBy>
  <cp:lastPrinted>2024-10-07T12:54:45Z</cp:lastPrinted>
  <dcterms:modified xsi:type="dcterms:W3CDTF">2024-10-07T13:51:18Z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EBCF6B30F4DF4964AD8491085C5FF8CE_13</vt:lpwstr>
  </property>
</Properties>
</file>