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34F5">
      <w:pPr>
        <w:jc w:val="right"/>
        <w:rPr>
          <w:rFonts w:asciiTheme="minorHAnsi" w:hAnsiTheme="minorHAnsi" w:cstheme="minorHAnsi"/>
          <w:b/>
          <w:color w:val="000000"/>
          <w:sz w:val="22"/>
          <w:szCs w:val="22"/>
        </w:rPr>
      </w:pPr>
      <w:bookmarkStart w:id="19" w:name="_GoBack"/>
      <w:bookmarkEnd w:id="19"/>
      <w:r>
        <w:rPr>
          <w:rFonts w:asciiTheme="minorHAnsi" w:hAnsiTheme="minorHAnsi" w:cstheme="minorHAnsi"/>
          <w:b/>
          <w:color w:val="000000"/>
          <w:sz w:val="22"/>
          <w:szCs w:val="22"/>
        </w:rPr>
        <w:t xml:space="preserve">OBRAZAC 1  </w:t>
      </w:r>
    </w:p>
    <w:p w14:paraId="6DF383D3">
      <w:pPr>
        <w:rPr>
          <w:rFonts w:asciiTheme="minorHAnsi" w:hAnsiTheme="minorHAnsi" w:cstheme="minorHAnsi"/>
          <w:color w:val="000000"/>
          <w:sz w:val="22"/>
          <w:szCs w:val="22"/>
        </w:rPr>
      </w:pPr>
    </w:p>
    <w:p w14:paraId="32153A5A">
      <w:pPr>
        <w:tabs>
          <w:tab w:val="left" w:pos="1701"/>
          <w:tab w:val="left" w:pos="4820"/>
        </w:tabs>
        <w:jc w:val="both"/>
        <w:rPr>
          <w:rFonts w:asciiTheme="minorHAnsi" w:hAnsiTheme="minorHAnsi" w:cstheme="minorHAnsi"/>
          <w:color w:val="000000"/>
        </w:rPr>
      </w:pPr>
      <w:r>
        <w:rPr>
          <w:rFonts w:asciiTheme="minorHAnsi" w:hAnsiTheme="minorHAnsi" w:cstheme="minorHAnsi"/>
          <w:color w:val="000000"/>
        </w:rPr>
        <w:t>Putevi d.o.o. Podgorica</w:t>
      </w:r>
    </w:p>
    <w:p w14:paraId="736C5C8B">
      <w:pPr>
        <w:tabs>
          <w:tab w:val="left" w:pos="1701"/>
          <w:tab w:val="left" w:pos="4820"/>
        </w:tabs>
        <w:jc w:val="both"/>
        <w:rPr>
          <w:rFonts w:asciiTheme="minorHAnsi" w:hAnsiTheme="minorHAnsi" w:cstheme="minorHAnsi"/>
        </w:rPr>
      </w:pPr>
      <w:r>
        <w:rPr>
          <w:rFonts w:asciiTheme="minorHAnsi" w:hAnsiTheme="minorHAnsi" w:cstheme="minorHAnsi"/>
        </w:rPr>
        <w:t>Broj iz evidencije postupaka javnih nabavki: 60/25</w:t>
      </w:r>
    </w:p>
    <w:p w14:paraId="1F273623">
      <w:pPr>
        <w:jc w:val="both"/>
        <w:rPr>
          <w:rFonts w:asciiTheme="minorHAnsi" w:hAnsiTheme="minorHAnsi" w:cstheme="minorHAnsi"/>
          <w:color w:val="000000"/>
        </w:rPr>
      </w:pPr>
      <w:r>
        <w:rPr>
          <w:rFonts w:asciiTheme="minorHAnsi" w:hAnsiTheme="minorHAnsi" w:cstheme="minorHAnsi"/>
          <w:color w:val="000000"/>
        </w:rPr>
        <w:t>Redni broj iz Plana javnih nabavki: 46</w:t>
      </w:r>
    </w:p>
    <w:p w14:paraId="3E549716">
      <w:pPr>
        <w:jc w:val="both"/>
        <w:rPr>
          <w:rFonts w:asciiTheme="minorHAnsi" w:hAnsiTheme="minorHAnsi" w:cstheme="minorHAnsi"/>
          <w:b/>
          <w:bCs/>
          <w:color w:val="000000"/>
        </w:rPr>
      </w:pPr>
      <w:r>
        <w:rPr>
          <w:rFonts w:asciiTheme="minorHAnsi" w:hAnsiTheme="minorHAnsi" w:cstheme="minorHAnsi"/>
          <w:color w:val="000000"/>
        </w:rPr>
        <w:t>Mjesto i datum: 30.12.2025. godine</w:t>
      </w:r>
    </w:p>
    <w:p w14:paraId="4E34ED93">
      <w:pPr>
        <w:rPr>
          <w:rFonts w:asciiTheme="minorHAnsi" w:hAnsiTheme="minorHAnsi" w:cstheme="minorHAnsi"/>
        </w:rPr>
      </w:pPr>
    </w:p>
    <w:p w14:paraId="5F8AFE49">
      <w:pPr>
        <w:rPr>
          <w:rFonts w:asciiTheme="minorHAnsi" w:hAnsiTheme="minorHAnsi" w:cstheme="minorHAnsi"/>
        </w:rPr>
      </w:pPr>
    </w:p>
    <w:p w14:paraId="724A2735">
      <w:pPr>
        <w:tabs>
          <w:tab w:val="left" w:pos="1276"/>
          <w:tab w:val="left" w:pos="3261"/>
        </w:tabs>
        <w:jc w:val="both"/>
        <w:rPr>
          <w:rFonts w:asciiTheme="minorHAnsi" w:hAnsiTheme="minorHAnsi" w:cstheme="minorHAnsi"/>
          <w:b/>
          <w:bCs/>
          <w:color w:val="000000"/>
        </w:rPr>
      </w:pPr>
      <w:r>
        <w:rPr>
          <w:rFonts w:asciiTheme="minorHAnsi" w:hAnsiTheme="minorHAnsi" w:cstheme="minorHAnsi"/>
        </w:rPr>
        <w:t xml:space="preserve">Na osnovu člana </w:t>
      </w:r>
      <w:r>
        <w:rPr>
          <w:rFonts w:asciiTheme="minorHAnsi" w:hAnsiTheme="minorHAnsi" w:cstheme="minorHAnsi"/>
          <w:lang w:val="sr-Latn-ME"/>
        </w:rPr>
        <w:t>5</w:t>
      </w:r>
      <w:r>
        <w:rPr>
          <w:rFonts w:asciiTheme="minorHAnsi" w:hAnsiTheme="minorHAnsi" w:cstheme="minorHAnsi"/>
        </w:rPr>
        <w:t xml:space="preserve">3 stav </w:t>
      </w:r>
      <w:r>
        <w:rPr>
          <w:rFonts w:asciiTheme="minorHAnsi" w:hAnsiTheme="minorHAnsi" w:cstheme="minorHAnsi"/>
          <w:lang w:val="sr-Latn-ME"/>
        </w:rPr>
        <w:t>3</w:t>
      </w:r>
      <w:r>
        <w:rPr>
          <w:rFonts w:asciiTheme="minorHAnsi" w:hAnsiTheme="minorHAnsi" w:cstheme="minorHAnsi"/>
        </w:rPr>
        <w:t xml:space="preserve"> Zakona o javnim nabavkama („Službeni list CG“, br. 74/19</w:t>
      </w:r>
      <w:r>
        <w:rPr>
          <w:rFonts w:asciiTheme="minorHAnsi" w:hAnsiTheme="minorHAnsi" w:cstheme="minorHAnsi"/>
          <w:lang w:val="sr-Latn-ME"/>
        </w:rPr>
        <w:t>, 3/23 i 11/23</w:t>
      </w:r>
      <w:r>
        <w:rPr>
          <w:rFonts w:asciiTheme="minorHAnsi" w:hAnsiTheme="minorHAnsi" w:cstheme="minorHAnsi"/>
        </w:rPr>
        <w:t>) Putevi d.o.o. Podgorica objavljuje</w:t>
      </w:r>
      <w:r>
        <w:rPr>
          <w:rFonts w:asciiTheme="minorHAnsi" w:hAnsiTheme="minorHAnsi" w:cstheme="minorHAnsi"/>
          <w:b/>
          <w:bCs/>
          <w:color w:val="000000"/>
        </w:rPr>
        <w:t xml:space="preserve">        </w:t>
      </w:r>
    </w:p>
    <w:p w14:paraId="21CF23A7">
      <w:pPr>
        <w:tabs>
          <w:tab w:val="left" w:pos="1276"/>
          <w:tab w:val="left" w:pos="3261"/>
        </w:tabs>
        <w:jc w:val="both"/>
        <w:rPr>
          <w:rFonts w:asciiTheme="minorHAnsi" w:hAnsiTheme="minorHAnsi" w:cstheme="minorHAnsi"/>
          <w:b/>
          <w:bCs/>
          <w:color w:val="000000"/>
        </w:rPr>
      </w:pPr>
    </w:p>
    <w:p w14:paraId="229779D6">
      <w:pPr>
        <w:tabs>
          <w:tab w:val="left" w:pos="1276"/>
          <w:tab w:val="left" w:pos="3261"/>
        </w:tabs>
        <w:jc w:val="both"/>
        <w:rPr>
          <w:rFonts w:asciiTheme="minorHAnsi" w:hAnsiTheme="minorHAnsi" w:cstheme="minorHAnsi"/>
          <w:b/>
          <w:bCs/>
          <w:color w:val="000000"/>
        </w:rPr>
      </w:pPr>
    </w:p>
    <w:p w14:paraId="2829DB1D">
      <w:pPr>
        <w:tabs>
          <w:tab w:val="left" w:pos="1276"/>
          <w:tab w:val="left" w:pos="3261"/>
        </w:tabs>
        <w:jc w:val="both"/>
        <w:rPr>
          <w:rFonts w:asciiTheme="minorHAnsi" w:hAnsiTheme="minorHAnsi" w:cstheme="minorHAnsi"/>
          <w:b/>
          <w:bCs/>
          <w:color w:val="000000"/>
        </w:rPr>
      </w:pPr>
    </w:p>
    <w:p w14:paraId="68C7AF3D">
      <w:pPr>
        <w:tabs>
          <w:tab w:val="left" w:pos="1276"/>
          <w:tab w:val="left" w:pos="3261"/>
        </w:tabs>
        <w:jc w:val="both"/>
        <w:rPr>
          <w:rFonts w:asciiTheme="minorHAnsi" w:hAnsiTheme="minorHAnsi" w:cstheme="minorHAnsi"/>
          <w:b/>
          <w:bCs/>
          <w:color w:val="000000"/>
        </w:rPr>
      </w:pPr>
    </w:p>
    <w:p w14:paraId="4F9AB0D8">
      <w:pPr>
        <w:tabs>
          <w:tab w:val="left" w:pos="1276"/>
          <w:tab w:val="left" w:pos="3261"/>
        </w:tabs>
        <w:jc w:val="both"/>
        <w:rPr>
          <w:rFonts w:asciiTheme="minorHAnsi" w:hAnsiTheme="minorHAnsi" w:cstheme="minorHAnsi"/>
        </w:rPr>
      </w:pPr>
      <w:r>
        <w:rPr>
          <w:rFonts w:asciiTheme="minorHAnsi" w:hAnsiTheme="minorHAnsi" w:cstheme="minorHAnsi"/>
          <w:b/>
          <w:bCs/>
          <w:color w:val="000000"/>
        </w:rPr>
        <w:t xml:space="preserve">                                      </w:t>
      </w:r>
      <w:r>
        <w:rPr>
          <w:rFonts w:asciiTheme="minorHAnsi" w:hAnsiTheme="minorHAnsi" w:cstheme="minorHAnsi"/>
          <w:bCs/>
          <w:color w:val="000000"/>
        </w:rPr>
        <w:t xml:space="preserve">                                                      </w:t>
      </w:r>
    </w:p>
    <w:p w14:paraId="7C7F27B4">
      <w:pPr>
        <w:keepNext/>
        <w:jc w:val="center"/>
        <w:outlineLvl w:val="0"/>
        <w:rPr>
          <w:rFonts w:asciiTheme="minorHAnsi" w:hAnsiTheme="minorHAnsi" w:cstheme="minorHAnsi"/>
          <w:b/>
          <w:bCs/>
          <w:color w:val="000000"/>
          <w:sz w:val="28"/>
          <w:szCs w:val="28"/>
        </w:rPr>
      </w:pPr>
    </w:p>
    <w:p w14:paraId="35233168">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TENDERSKU DOKUMENTACIJU</w:t>
      </w:r>
    </w:p>
    <w:p w14:paraId="222B36EE">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ZA OTVORENI POSTUPAK JAVNE NABAVKE</w:t>
      </w:r>
    </w:p>
    <w:p w14:paraId="6EE6FB43">
      <w:pPr>
        <w:jc w:val="center"/>
        <w:rPr>
          <w:rFonts w:asciiTheme="minorHAnsi" w:hAnsiTheme="minorHAnsi" w:cstheme="minorHAnsi"/>
          <w:b/>
          <w:bCs/>
          <w:color w:val="000000"/>
          <w:sz w:val="28"/>
          <w:szCs w:val="28"/>
        </w:rPr>
      </w:pPr>
    </w:p>
    <w:p w14:paraId="38C6D35F">
      <w:pPr>
        <w:jc w:val="center"/>
        <w:rPr>
          <w:rFonts w:asciiTheme="minorHAnsi" w:hAnsiTheme="minorHAnsi" w:cstheme="minorHAnsi"/>
          <w:sz w:val="28"/>
          <w:szCs w:val="28"/>
        </w:rPr>
      </w:pPr>
      <w:r>
        <w:rPr>
          <w:rFonts w:asciiTheme="minorHAnsi" w:hAnsiTheme="minorHAnsi" w:cstheme="minorHAnsi"/>
          <w:color w:val="000000"/>
          <w:sz w:val="28"/>
          <w:szCs w:val="28"/>
        </w:rPr>
        <w:t>Za nabavku robe -</w:t>
      </w:r>
      <w:r>
        <w:rPr>
          <w:rFonts w:asciiTheme="minorHAnsi" w:hAnsiTheme="minorHAnsi" w:cstheme="minorHAnsi"/>
          <w:color w:val="000000"/>
          <w:sz w:val="28"/>
          <w:szCs w:val="28"/>
          <w:lang w:val="sr-Latn-ME"/>
        </w:rPr>
        <w:t xml:space="preserve"> Građevinske mehanizacije -</w:t>
      </w:r>
      <w:r>
        <w:t xml:space="preserve"> </w:t>
      </w:r>
      <w:r>
        <w:rPr>
          <w:rFonts w:asciiTheme="minorHAnsi" w:hAnsiTheme="minorHAnsi" w:cstheme="minorHAnsi"/>
          <w:color w:val="000000"/>
          <w:sz w:val="28"/>
          <w:szCs w:val="28"/>
          <w:lang w:val="sr-Latn-ME"/>
        </w:rPr>
        <w:t xml:space="preserve">korišćeno specijalno teretno vozilo </w:t>
      </w:r>
    </w:p>
    <w:p w14:paraId="365B638D">
      <w:pPr>
        <w:jc w:val="both"/>
        <w:rPr>
          <w:rFonts w:asciiTheme="minorHAnsi" w:hAnsiTheme="minorHAnsi" w:cstheme="minorHAnsi"/>
          <w:color w:val="000000"/>
        </w:rPr>
      </w:pPr>
    </w:p>
    <w:p w14:paraId="3EA7B555">
      <w:pPr>
        <w:jc w:val="both"/>
        <w:rPr>
          <w:rFonts w:asciiTheme="minorHAnsi" w:hAnsiTheme="minorHAnsi" w:cstheme="minorHAnsi"/>
          <w:color w:val="000000"/>
        </w:rPr>
      </w:pPr>
      <w:r>
        <w:rPr>
          <w:rFonts w:asciiTheme="minorHAnsi" w:hAnsiTheme="minorHAnsi" w:cstheme="minorHAnsi"/>
          <w:color w:val="000000"/>
        </w:rPr>
        <w:t>Predmet nabavke se nabavlja:</w:t>
      </w:r>
    </w:p>
    <w:p w14:paraId="42E46535">
      <w:pPr>
        <w:jc w:val="both"/>
        <w:rPr>
          <w:rFonts w:asciiTheme="minorHAnsi" w:hAnsiTheme="minorHAnsi" w:cstheme="minorHAnsi"/>
          <w:color w:val="000000"/>
        </w:rPr>
      </w:pPr>
    </w:p>
    <w:p w14:paraId="03AAB8AA">
      <w:pPr>
        <w:jc w:val="both"/>
        <w:rPr>
          <w:rFonts w:asciiTheme="minorHAnsi" w:hAnsiTheme="minorHAnsi" w:cstheme="minorHAnsi"/>
          <w:color w:val="000000"/>
        </w:rPr>
      </w:pPr>
      <w:r>
        <w:rPr>
          <w:rFonts w:asciiTheme="minorHAnsi" w:hAnsiTheme="minorHAnsi" w:cstheme="minorHAnsi"/>
          <w:color w:val="000000"/>
        </w:rPr>
        <w:sym w:font="Wingdings" w:char="00FE"/>
      </w:r>
      <w:r>
        <w:rPr>
          <w:rFonts w:asciiTheme="minorHAnsi" w:hAnsiTheme="minorHAnsi" w:cstheme="minorHAnsi"/>
          <w:color w:val="000000"/>
        </w:rPr>
        <w:t xml:space="preserve"> </w:t>
      </w:r>
      <w:r>
        <w:rPr>
          <w:rFonts w:asciiTheme="minorHAnsi" w:hAnsiTheme="minorHAnsi" w:cstheme="minorHAnsi"/>
          <w:color w:val="000000"/>
          <w:lang w:val="sr-Latn-ME"/>
        </w:rPr>
        <w:t>kao cjelina</w:t>
      </w:r>
    </w:p>
    <w:p w14:paraId="477B16B1">
      <w:pPr>
        <w:rPr>
          <w:rFonts w:asciiTheme="minorHAnsi" w:hAnsiTheme="minorHAnsi" w:cstheme="minorHAnsi"/>
          <w:color w:val="000000"/>
        </w:rPr>
      </w:pPr>
    </w:p>
    <w:p w14:paraId="58226256">
      <w:pPr>
        <w:rPr>
          <w:rFonts w:asciiTheme="minorHAnsi" w:hAnsiTheme="minorHAnsi" w:cstheme="minorHAnsi"/>
          <w:color w:val="000000"/>
        </w:rPr>
      </w:pPr>
    </w:p>
    <w:p w14:paraId="3A235582">
      <w:pPr>
        <w:rPr>
          <w:rFonts w:asciiTheme="minorHAnsi" w:hAnsiTheme="minorHAnsi" w:cstheme="minorHAnsi"/>
          <w:color w:val="000000"/>
        </w:rPr>
      </w:pPr>
    </w:p>
    <w:p w14:paraId="78943503">
      <w:pPr>
        <w:rPr>
          <w:rFonts w:asciiTheme="minorHAnsi" w:hAnsiTheme="minorHAnsi" w:cstheme="minorHAnsi"/>
          <w:color w:val="000000"/>
          <w:sz w:val="22"/>
          <w:szCs w:val="22"/>
        </w:rPr>
      </w:pPr>
    </w:p>
    <w:p w14:paraId="68C2BDA8">
      <w:pPr>
        <w:rPr>
          <w:rFonts w:asciiTheme="minorHAnsi" w:hAnsiTheme="minorHAnsi" w:cstheme="minorHAnsi"/>
          <w:color w:val="000000"/>
          <w:sz w:val="22"/>
          <w:szCs w:val="22"/>
        </w:rPr>
      </w:pPr>
    </w:p>
    <w:p w14:paraId="11F2C2C1">
      <w:pPr>
        <w:rPr>
          <w:rFonts w:asciiTheme="minorHAnsi" w:hAnsiTheme="minorHAnsi" w:cstheme="minorHAnsi"/>
          <w:color w:val="000000"/>
          <w:sz w:val="22"/>
          <w:szCs w:val="22"/>
        </w:rPr>
      </w:pPr>
    </w:p>
    <w:p w14:paraId="29262F18">
      <w:pPr>
        <w:rPr>
          <w:rFonts w:asciiTheme="minorHAnsi" w:hAnsiTheme="minorHAnsi" w:cstheme="minorHAnsi"/>
          <w:color w:val="000000"/>
          <w:sz w:val="22"/>
          <w:szCs w:val="22"/>
        </w:rPr>
      </w:pPr>
    </w:p>
    <w:p w14:paraId="38E98269">
      <w:pPr>
        <w:rPr>
          <w:rFonts w:asciiTheme="minorHAnsi" w:hAnsiTheme="minorHAnsi" w:cstheme="minorHAnsi"/>
          <w:color w:val="000000"/>
          <w:sz w:val="22"/>
          <w:szCs w:val="22"/>
        </w:rPr>
      </w:pPr>
    </w:p>
    <w:p w14:paraId="713CD60D">
      <w:pPr>
        <w:rPr>
          <w:rFonts w:asciiTheme="minorHAnsi" w:hAnsiTheme="minorHAnsi" w:cstheme="minorHAnsi"/>
          <w:color w:val="000000"/>
          <w:sz w:val="22"/>
          <w:szCs w:val="22"/>
        </w:rPr>
      </w:pPr>
    </w:p>
    <w:p w14:paraId="45EC9DBE">
      <w:pPr>
        <w:rPr>
          <w:rFonts w:asciiTheme="minorHAnsi" w:hAnsiTheme="minorHAnsi" w:cstheme="minorHAnsi"/>
          <w:color w:val="000000"/>
          <w:sz w:val="22"/>
          <w:szCs w:val="22"/>
        </w:rPr>
      </w:pPr>
    </w:p>
    <w:p w14:paraId="216C66F4">
      <w:pPr>
        <w:rPr>
          <w:rFonts w:asciiTheme="minorHAnsi" w:hAnsiTheme="minorHAnsi" w:cstheme="minorHAnsi"/>
          <w:color w:val="000000"/>
          <w:sz w:val="22"/>
          <w:szCs w:val="22"/>
        </w:rPr>
      </w:pPr>
    </w:p>
    <w:p w14:paraId="56B66BD1">
      <w:pPr>
        <w:rPr>
          <w:rFonts w:asciiTheme="minorHAnsi" w:hAnsiTheme="minorHAnsi" w:cstheme="minorHAnsi"/>
          <w:color w:val="000000"/>
          <w:sz w:val="22"/>
          <w:szCs w:val="22"/>
        </w:rPr>
      </w:pPr>
    </w:p>
    <w:p w14:paraId="2F530E36">
      <w:pPr>
        <w:rPr>
          <w:rFonts w:asciiTheme="minorHAnsi" w:hAnsiTheme="minorHAnsi" w:cstheme="minorHAnsi"/>
          <w:color w:val="000000"/>
          <w:sz w:val="22"/>
          <w:szCs w:val="22"/>
        </w:rPr>
      </w:pPr>
    </w:p>
    <w:p w14:paraId="20550CEE">
      <w:pPr>
        <w:rPr>
          <w:rFonts w:asciiTheme="minorHAnsi" w:hAnsiTheme="minorHAnsi" w:cstheme="minorHAnsi"/>
          <w:color w:val="000000"/>
          <w:sz w:val="22"/>
          <w:szCs w:val="22"/>
        </w:rPr>
      </w:pPr>
    </w:p>
    <w:p w14:paraId="79DDBBBB">
      <w:pPr>
        <w:rPr>
          <w:rFonts w:asciiTheme="minorHAnsi" w:hAnsiTheme="minorHAnsi" w:cstheme="minorHAnsi"/>
          <w:color w:val="000000"/>
          <w:sz w:val="22"/>
          <w:szCs w:val="22"/>
        </w:rPr>
      </w:pPr>
    </w:p>
    <w:p w14:paraId="4A77FAC1">
      <w:pPr>
        <w:rPr>
          <w:rFonts w:asciiTheme="minorHAnsi" w:hAnsiTheme="minorHAnsi" w:cstheme="minorHAnsi"/>
          <w:color w:val="000000"/>
          <w:sz w:val="22"/>
          <w:szCs w:val="22"/>
        </w:rPr>
      </w:pPr>
    </w:p>
    <w:p w14:paraId="77DBA7D6">
      <w:pPr>
        <w:rPr>
          <w:rFonts w:asciiTheme="minorHAnsi" w:hAnsiTheme="minorHAnsi" w:cstheme="minorHAnsi"/>
          <w:color w:val="000000"/>
          <w:sz w:val="22"/>
          <w:szCs w:val="22"/>
        </w:rPr>
      </w:pPr>
    </w:p>
    <w:p w14:paraId="40C2A1E5">
      <w:pPr>
        <w:rPr>
          <w:rFonts w:asciiTheme="minorHAnsi" w:hAnsiTheme="minorHAnsi" w:cstheme="minorHAnsi"/>
          <w:color w:val="000000"/>
          <w:sz w:val="22"/>
          <w:szCs w:val="22"/>
        </w:rPr>
      </w:pPr>
    </w:p>
    <w:p w14:paraId="06FDB6EA">
      <w:pPr>
        <w:rPr>
          <w:rFonts w:asciiTheme="minorHAnsi" w:hAnsiTheme="minorHAnsi" w:cstheme="minorHAnsi"/>
          <w:color w:val="000000"/>
          <w:sz w:val="22"/>
          <w:szCs w:val="22"/>
        </w:rPr>
      </w:pPr>
    </w:p>
    <w:p w14:paraId="27EFEE8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0" w:name="_Toc62730553"/>
      <w:r>
        <w:rPr>
          <w:rFonts w:asciiTheme="minorHAnsi" w:hAnsiTheme="minorHAnsi" w:cstheme="minorHAnsi"/>
          <w:b/>
          <w:color w:val="000000"/>
          <w:sz w:val="22"/>
          <w:szCs w:val="22"/>
        </w:rPr>
        <w:t>POZIV ZA NADMETANJE</w:t>
      </w:r>
      <w:r>
        <w:rPr>
          <w:rFonts w:asciiTheme="minorHAnsi" w:hAnsiTheme="minorHAnsi" w:cstheme="minorHAnsi"/>
          <w:b/>
          <w:color w:val="000000"/>
          <w:sz w:val="22"/>
          <w:szCs w:val="22"/>
          <w:vertAlign w:val="superscript"/>
        </w:rPr>
        <w:footnoteReference w:id="0"/>
      </w:r>
      <w:bookmarkEnd w:id="0"/>
      <w:r>
        <w:rPr>
          <w:rFonts w:asciiTheme="minorHAnsi" w:hAnsiTheme="minorHAnsi" w:cstheme="minorHAnsi"/>
          <w:b/>
          <w:color w:val="000000"/>
          <w:sz w:val="22"/>
          <w:szCs w:val="22"/>
        </w:rPr>
        <w:t xml:space="preserve"> </w:t>
      </w:r>
    </w:p>
    <w:p w14:paraId="3A9FA9EF">
      <w:pPr>
        <w:ind w:left="360"/>
        <w:jc w:val="center"/>
        <w:rPr>
          <w:rFonts w:asciiTheme="minorHAnsi" w:hAnsiTheme="minorHAnsi" w:cstheme="minorHAnsi"/>
          <w:b/>
          <w:bCs/>
          <w:color w:val="000000"/>
          <w:sz w:val="22"/>
          <w:szCs w:val="22"/>
        </w:rPr>
      </w:pPr>
    </w:p>
    <w:p w14:paraId="1A470254">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Podaci o naručiocu;</w:t>
      </w:r>
    </w:p>
    <w:p w14:paraId="31311573">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Podaci o postupku i predmetu javne nabavke: </w:t>
      </w:r>
    </w:p>
    <w:p w14:paraId="4310BAD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Vrsta postupka,</w:t>
      </w:r>
    </w:p>
    <w:p w14:paraId="73DB95D3">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Predmet javne nabavke (vrsta predmeta, naziv i opis predmeta),</w:t>
      </w:r>
    </w:p>
    <w:p w14:paraId="4A0FBECE">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Procijenjena vrijednost predmeta nabavke</w:t>
      </w:r>
      <w:r>
        <w:rPr>
          <w:rFonts w:eastAsia="Calibri" w:asciiTheme="minorHAnsi" w:hAnsiTheme="minorHAnsi" w:cstheme="minorHAnsi"/>
          <w:color w:val="000000"/>
          <w:sz w:val="22"/>
          <w:szCs w:val="22"/>
          <w:vertAlign w:val="superscript"/>
        </w:rPr>
        <w:footnoteReference w:id="1"/>
      </w:r>
      <w:r>
        <w:rPr>
          <w:rFonts w:eastAsia="Calibri" w:asciiTheme="minorHAnsi" w:hAnsiTheme="minorHAnsi" w:cstheme="minorHAnsi"/>
          <w:color w:val="000000"/>
          <w:sz w:val="22"/>
          <w:szCs w:val="22"/>
        </w:rPr>
        <w:t>,</w:t>
      </w:r>
    </w:p>
    <w:p w14:paraId="5917C81D">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Način nabavke: </w:t>
      </w:r>
    </w:p>
    <w:p w14:paraId="0064F43B">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Cjelina, po partijama,</w:t>
      </w:r>
    </w:p>
    <w:p w14:paraId="3BFA19EE">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Zajednička nabavka,</w:t>
      </w:r>
    </w:p>
    <w:p w14:paraId="04C19688">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Centralizovana nabavka,</w:t>
      </w:r>
    </w:p>
    <w:p w14:paraId="11B8A3D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Posebni oblik nabavke:</w:t>
      </w:r>
    </w:p>
    <w:p w14:paraId="73715C8B">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Okvirni sporazum,</w:t>
      </w:r>
    </w:p>
    <w:p w14:paraId="5EF8359C">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Dinamički sistem nabavki,</w:t>
      </w:r>
    </w:p>
    <w:p w14:paraId="732D77E9">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Elektronska aukcija,</w:t>
      </w:r>
    </w:p>
    <w:p w14:paraId="325E2878">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Elektronski katalog,</w:t>
      </w:r>
    </w:p>
    <w:p w14:paraId="6143632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Uslovi za učešće u postupku javne nabavke i posebni osnovi za isključenje,</w:t>
      </w:r>
    </w:p>
    <w:p w14:paraId="713EB32A">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Kriterijum za izbor najpovoljnije ponude,</w:t>
      </w:r>
    </w:p>
    <w:p w14:paraId="0D6C4BB8">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Način, mjesto i vrijeme podnošenja ponuda i otvaranja ponuda,</w:t>
      </w:r>
    </w:p>
    <w:p w14:paraId="0EA1964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za donošenje odluke o izboru,</w:t>
      </w:r>
    </w:p>
    <w:p w14:paraId="680E0F3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važenja ponude,</w:t>
      </w:r>
    </w:p>
    <w:p w14:paraId="7E6B3F8B">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Garancija ponude</w:t>
      </w:r>
    </w:p>
    <w:p w14:paraId="7371B406">
      <w:pPr>
        <w:rPr>
          <w:rFonts w:eastAsia="Calibri" w:asciiTheme="minorHAnsi" w:hAnsiTheme="minorHAnsi" w:cstheme="minorHAnsi"/>
          <w:color w:val="000000"/>
          <w:sz w:val="22"/>
          <w:szCs w:val="22"/>
        </w:rPr>
      </w:pPr>
    </w:p>
    <w:p w14:paraId="6C14462F">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1" w:name="_Toc62730554"/>
      <w:r>
        <w:rPr>
          <w:rFonts w:asciiTheme="minorHAnsi" w:hAnsiTheme="minorHAnsi" w:cstheme="minorHAnsi"/>
          <w:b/>
          <w:color w:val="000000"/>
          <w:sz w:val="22"/>
          <w:szCs w:val="22"/>
        </w:rPr>
        <w:t>TEHNIČKA SPECIFIKACIJA PREDMETA JAVNE NABAVKE</w:t>
      </w:r>
      <w:r>
        <w:rPr>
          <w:rFonts w:asciiTheme="minorHAnsi" w:hAnsiTheme="minorHAnsi" w:cstheme="minorHAnsi"/>
          <w:b/>
          <w:color w:val="000000"/>
          <w:sz w:val="22"/>
          <w:szCs w:val="22"/>
          <w:vertAlign w:val="superscript"/>
        </w:rPr>
        <w:footnoteReference w:id="2"/>
      </w:r>
      <w:bookmarkEnd w:id="1"/>
    </w:p>
    <w:p w14:paraId="60D56A97">
      <w:pPr>
        <w:rPr>
          <w:rFonts w:eastAsia="Calibri" w:asciiTheme="minorHAnsi" w:hAnsiTheme="minorHAnsi" w:cstheme="minorHAnsi"/>
          <w:color w:val="000000"/>
          <w:sz w:val="22"/>
          <w:szCs w:val="22"/>
        </w:rPr>
      </w:pPr>
    </w:p>
    <w:p w14:paraId="766703E2">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Naziv i opis predmeta nabavke u cjelini, po partijama i stavkama sa bitnim karakteristikama</w:t>
      </w:r>
    </w:p>
    <w:p w14:paraId="690CFDEB">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Zahtjevi u pogledu načina izvršavanja predmeta nabavke koji su od značaja za sačinjavanje ponude i izvršenje ugovora</w:t>
      </w:r>
    </w:p>
    <w:p w14:paraId="32761449">
      <w:pPr>
        <w:rPr>
          <w:rFonts w:eastAsia="Calibri" w:asciiTheme="minorHAnsi" w:hAnsiTheme="minorHAnsi" w:cstheme="minorHAnsi"/>
          <w:color w:val="000000"/>
          <w:sz w:val="22"/>
          <w:szCs w:val="22"/>
        </w:rPr>
      </w:pPr>
    </w:p>
    <w:p w14:paraId="76F50E4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810" w:hanging="720"/>
        <w:jc w:val="both"/>
        <w:outlineLvl w:val="0"/>
        <w:rPr>
          <w:rFonts w:asciiTheme="minorHAnsi" w:hAnsiTheme="minorHAnsi" w:cstheme="minorHAnsi"/>
          <w:b/>
          <w:color w:val="000000"/>
          <w:sz w:val="22"/>
          <w:szCs w:val="22"/>
        </w:rPr>
      </w:pPr>
      <w:bookmarkStart w:id="2" w:name="_Toc62730555"/>
      <w:r>
        <w:rPr>
          <w:rFonts w:asciiTheme="minorHAnsi" w:hAnsiTheme="minorHAnsi" w:cstheme="minorHAnsi"/>
          <w:b/>
          <w:color w:val="000000"/>
          <w:sz w:val="22"/>
          <w:szCs w:val="22"/>
        </w:rPr>
        <w:t>DODATNE INFORMACIJE O PREDMETU I POSTUPKU NABAVKE</w:t>
      </w:r>
      <w:r>
        <w:rPr>
          <w:rFonts w:asciiTheme="minorHAnsi" w:hAnsiTheme="minorHAnsi" w:cstheme="minorHAnsi"/>
          <w:b/>
          <w:color w:val="000000"/>
          <w:sz w:val="22"/>
          <w:szCs w:val="22"/>
          <w:vertAlign w:val="superscript"/>
        </w:rPr>
        <w:footnoteReference w:id="3"/>
      </w:r>
      <w:bookmarkEnd w:id="2"/>
    </w:p>
    <w:p w14:paraId="3231D139">
      <w:pPr>
        <w:jc w:val="both"/>
        <w:rPr>
          <w:rFonts w:asciiTheme="minorHAnsi" w:hAnsiTheme="minorHAnsi" w:cstheme="minorHAnsi"/>
          <w:b/>
          <w:bCs/>
          <w:color w:val="000000"/>
          <w:sz w:val="22"/>
          <w:szCs w:val="22"/>
        </w:rPr>
      </w:pPr>
    </w:p>
    <w:p w14:paraId="3EB8F311">
      <w:pPr>
        <w:pBdr>
          <w:top w:val="single" w:color="auto" w:sz="4" w:space="1"/>
          <w:left w:val="single" w:color="auto" w:sz="4" w:space="0"/>
          <w:bottom w:val="single" w:color="auto" w:sz="4" w:space="1"/>
          <w:right w:val="single" w:color="auto" w:sz="4" w:space="4"/>
        </w:pBdr>
        <w:shd w:val="clear" w:color="auto" w:fill="D9D9D9"/>
        <w:tabs>
          <w:tab w:val="left" w:pos="90"/>
        </w:tabs>
        <w:spacing w:after="160" w:line="259" w:lineRule="auto"/>
        <w:ind w:left="90" w:firstLine="90"/>
        <w:rPr>
          <w:rFonts w:eastAsia="Calibri" w:asciiTheme="minorHAnsi" w:hAnsiTheme="minorHAnsi" w:cstheme="minorHAnsi"/>
          <w:b/>
          <w:bCs/>
          <w:color w:val="000000"/>
          <w:sz w:val="22"/>
          <w:szCs w:val="22"/>
        </w:rPr>
      </w:pPr>
      <w:r>
        <w:rPr>
          <w:rFonts w:eastAsia="Calibri" w:asciiTheme="minorHAnsi" w:hAnsiTheme="minorHAnsi" w:cstheme="minorHAnsi"/>
          <w:b/>
          <w:bCs/>
          <w:color w:val="000000"/>
          <w:sz w:val="22"/>
          <w:szCs w:val="22"/>
        </w:rPr>
        <w:t>Procijenjena vrijednost predmenta nabavke:</w:t>
      </w:r>
      <w:r>
        <w:rPr>
          <w:rFonts w:eastAsia="Calibri" w:asciiTheme="minorHAnsi" w:hAnsiTheme="minorHAnsi" w:cstheme="minorHAnsi"/>
          <w:b/>
          <w:bCs/>
          <w:color w:val="000000"/>
          <w:sz w:val="22"/>
          <w:szCs w:val="22"/>
          <w:vertAlign w:val="superscript"/>
        </w:rPr>
        <w:footnoteReference w:id="4"/>
      </w:r>
    </w:p>
    <w:p w14:paraId="58519E54">
      <w:pPr>
        <w:spacing w:after="160" w:line="259" w:lineRule="auto"/>
        <w:jc w:val="both"/>
        <w:rPr>
          <w:rFonts w:eastAsia="Calibri" w:asciiTheme="minorHAnsi" w:hAnsiTheme="minorHAnsi" w:cstheme="minorHAnsi"/>
          <w:b/>
          <w:bCs/>
          <w:color w:val="000000"/>
          <w:sz w:val="22"/>
          <w:szCs w:val="22"/>
        </w:rPr>
      </w:pPr>
      <w:r>
        <w:rPr>
          <w:rFonts w:eastAsia="Calibri" w:asciiTheme="minorHAnsi" w:hAnsiTheme="minorHAnsi" w:cstheme="minorHAnsi"/>
          <w:color w:val="000000"/>
          <w:sz w:val="22"/>
          <w:szCs w:val="22"/>
        </w:rPr>
        <w:sym w:font="Wingdings" w:char="F0A8"/>
      </w:r>
      <w:r>
        <w:rPr>
          <w:rFonts w:eastAsia="Calibri" w:asciiTheme="minorHAnsi" w:hAnsiTheme="minorHAnsi" w:cstheme="minorHAnsi"/>
          <w:color w:val="000000"/>
          <w:sz w:val="22"/>
          <w:szCs w:val="22"/>
        </w:rPr>
        <w:t xml:space="preserve"> </w:t>
      </w:r>
      <w:r>
        <w:rPr>
          <w:rFonts w:eastAsia="Calibri" w:asciiTheme="minorHAnsi" w:hAnsiTheme="minorHAnsi" w:cstheme="minorHAnsi"/>
          <w:b/>
          <w:bCs/>
          <w:color w:val="000000"/>
          <w:sz w:val="22"/>
          <w:szCs w:val="22"/>
        </w:rPr>
        <w:t>Procijenjena vrijednost predmeta nabavke bez zaključivanja okvirnog sporazuma</w:t>
      </w:r>
      <w:r>
        <w:rPr>
          <w:rFonts w:eastAsia="Calibri" w:asciiTheme="minorHAnsi" w:hAnsiTheme="minorHAnsi" w:cstheme="minorHAnsi"/>
          <w:color w:val="000000"/>
          <w:sz w:val="22"/>
          <w:szCs w:val="22"/>
        </w:rPr>
        <w:t>:</w:t>
      </w:r>
    </w:p>
    <w:p w14:paraId="5EA80390">
      <w:pPr>
        <w:spacing w:after="160" w:line="259" w:lineRule="auto"/>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rPr>
        <w:sym w:font="Wingdings" w:char="00A8"/>
      </w:r>
      <w:r>
        <w:rPr>
          <w:rFonts w:eastAsia="Calibri" w:asciiTheme="minorHAnsi" w:hAnsiTheme="minorHAnsi" w:cstheme="minorHAnsi"/>
          <w:color w:val="000000"/>
          <w:sz w:val="22"/>
          <w:szCs w:val="22"/>
        </w:rPr>
        <w:t xml:space="preserve"> kao cjeline je 70.000,00eura bez PDV-a</w:t>
      </w:r>
    </w:p>
    <w:p w14:paraId="6E9DA285">
      <w:pPr>
        <w:jc w:val="both"/>
        <w:rPr>
          <w:rFonts w:asciiTheme="minorHAnsi" w:hAnsiTheme="minorHAnsi" w:cstheme="minorHAnsi"/>
          <w:color w:val="000000"/>
          <w:sz w:val="22"/>
          <w:szCs w:val="22"/>
        </w:rPr>
      </w:pPr>
    </w:p>
    <w:p w14:paraId="3070C825">
      <w:pPr>
        <w:jc w:val="both"/>
        <w:rPr>
          <w:rFonts w:asciiTheme="minorHAnsi" w:hAnsiTheme="minorHAnsi" w:cstheme="minorHAnsi"/>
          <w:color w:val="000000"/>
          <w:sz w:val="22"/>
          <w:szCs w:val="22"/>
        </w:rPr>
      </w:pPr>
    </w:p>
    <w:p w14:paraId="71BB08C8">
      <w:pPr>
        <w:pBdr>
          <w:top w:val="single" w:color="auto" w:sz="4" w:space="1"/>
          <w:left w:val="single" w:color="auto" w:sz="4" w:space="4"/>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ZAKLJUČUJU ZAJEDNIČKU NABAVKU</w:t>
      </w:r>
    </w:p>
    <w:p w14:paraId="2F4CDC97">
      <w:pPr>
        <w:jc w:val="both"/>
        <w:rPr>
          <w:rFonts w:asciiTheme="minorHAnsi" w:hAnsiTheme="minorHAnsi" w:cstheme="minorHAnsi"/>
          <w:color w:val="000000"/>
          <w:sz w:val="22"/>
          <w:szCs w:val="22"/>
        </w:rPr>
      </w:pPr>
    </w:p>
    <w:p w14:paraId="32B7511E">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Zajednička nabavka se sprovodi za; </w:t>
      </w:r>
      <w:r>
        <w:rPr>
          <w:rFonts w:asciiTheme="minorHAnsi" w:hAnsiTheme="minorHAnsi" w:cstheme="minorHAnsi"/>
          <w:b/>
          <w:color w:val="000000"/>
          <w:sz w:val="22"/>
          <w:szCs w:val="22"/>
          <w:u w:val="single"/>
        </w:rPr>
        <w:t>Nije primjenivo.</w:t>
      </w:r>
    </w:p>
    <w:p w14:paraId="3DAFB195">
      <w:pPr>
        <w:jc w:val="both"/>
        <w:rPr>
          <w:rFonts w:asciiTheme="minorHAnsi" w:hAnsiTheme="minorHAnsi" w:cstheme="minorHAnsi"/>
          <w:color w:val="000000"/>
          <w:sz w:val="22"/>
          <w:szCs w:val="22"/>
        </w:rPr>
      </w:pPr>
    </w:p>
    <w:p w14:paraId="183C7820">
      <w:pPr>
        <w:pBdr>
          <w:top w:val="single" w:color="auto" w:sz="4" w:space="1"/>
          <w:left w:val="single" w:color="auto" w:sz="4" w:space="0"/>
          <w:bottom w:val="single" w:color="auto" w:sz="4" w:space="1"/>
          <w:right w:val="single" w:color="auto" w:sz="4" w:space="4"/>
        </w:pBdr>
        <w:shd w:val="clear" w:color="auto" w:fill="BFBFBF"/>
        <w:ind w:left="180"/>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SU UKLJUČENI U CENTRALIZOVANU NABAVKU</w:t>
      </w:r>
    </w:p>
    <w:p w14:paraId="62D912AE">
      <w:pPr>
        <w:ind w:left="180"/>
        <w:jc w:val="both"/>
        <w:rPr>
          <w:rFonts w:asciiTheme="minorHAnsi" w:hAnsiTheme="minorHAnsi" w:cstheme="minorHAnsi"/>
          <w:sz w:val="22"/>
          <w:szCs w:val="22"/>
        </w:rPr>
      </w:pPr>
    </w:p>
    <w:p w14:paraId="3CAE79BF">
      <w:pPr>
        <w:jc w:val="both"/>
        <w:rPr>
          <w:rFonts w:asciiTheme="minorHAnsi" w:hAnsiTheme="minorHAnsi" w:cstheme="minorHAnsi"/>
          <w:sz w:val="22"/>
          <w:szCs w:val="22"/>
        </w:rPr>
      </w:pPr>
      <w:r>
        <w:rPr>
          <w:rFonts w:asciiTheme="minorHAnsi" w:hAnsiTheme="minorHAnsi" w:cstheme="minorHAnsi"/>
          <w:sz w:val="22"/>
          <w:szCs w:val="22"/>
        </w:rPr>
        <w:t>Centralizovana nabavka se sprovodi za</w:t>
      </w:r>
      <w:r>
        <w:rPr>
          <w:rFonts w:asciiTheme="minorHAnsi" w:hAnsiTheme="minorHAnsi" w:cstheme="minorHAnsi"/>
          <w:b/>
          <w:color w:val="000000"/>
          <w:sz w:val="22"/>
          <w:szCs w:val="22"/>
          <w:u w:val="single"/>
        </w:rPr>
        <w:t xml:space="preserve"> Nije primjenivo.</w:t>
      </w:r>
    </w:p>
    <w:p w14:paraId="0C817ABE">
      <w:pPr>
        <w:jc w:val="both"/>
        <w:rPr>
          <w:rFonts w:asciiTheme="minorHAnsi" w:hAnsiTheme="minorHAnsi" w:cstheme="minorHAnsi"/>
          <w:sz w:val="22"/>
          <w:szCs w:val="22"/>
        </w:rPr>
      </w:pPr>
    </w:p>
    <w:p w14:paraId="5E4E8325">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NAČIN SPROVOĐENJA ELEKTRONSKE AUKCIJE</w:t>
      </w:r>
    </w:p>
    <w:p w14:paraId="0509FE28">
      <w:pPr>
        <w:jc w:val="both"/>
        <w:rPr>
          <w:rFonts w:asciiTheme="minorHAnsi" w:hAnsiTheme="minorHAnsi" w:cstheme="minorHAnsi"/>
          <w:sz w:val="22"/>
          <w:szCs w:val="22"/>
        </w:rPr>
      </w:pPr>
    </w:p>
    <w:p w14:paraId="6B680498">
      <w:pPr>
        <w:jc w:val="both"/>
        <w:rPr>
          <w:rFonts w:asciiTheme="minorHAnsi" w:hAnsiTheme="minorHAnsi" w:cstheme="minorHAnsi"/>
          <w:color w:val="222A35"/>
          <w:sz w:val="22"/>
          <w:szCs w:val="22"/>
        </w:rPr>
      </w:pPr>
      <w:r>
        <w:rPr>
          <w:rFonts w:asciiTheme="minorHAnsi" w:hAnsiTheme="minorHAnsi" w:cstheme="minorHAnsi"/>
          <w:color w:val="222A35"/>
          <w:sz w:val="22"/>
          <w:szCs w:val="22"/>
        </w:rPr>
        <w:t>Elektronska aukcija će se sprovesti nakon ocjene ponuda, kao elektronski proces koji se ponavlja, radi postizanja nove (</w:t>
      </w:r>
      <w:r>
        <w:rPr>
          <w:rFonts w:asciiTheme="minorHAnsi" w:hAnsiTheme="minorHAnsi" w:cstheme="minorHAnsi"/>
          <w:sz w:val="22"/>
          <w:szCs w:val="22"/>
          <w:u w:val="single"/>
        </w:rPr>
        <w:t>upisati kriterijum za koji se sprovodi elektronska aukcija)</w:t>
      </w:r>
      <w:r>
        <w:rPr>
          <w:rFonts w:asciiTheme="minorHAnsi" w:hAnsiTheme="minorHAnsi" w:cstheme="minorHAnsi"/>
          <w:color w:val="222A35"/>
          <w:sz w:val="22"/>
          <w:szCs w:val="22"/>
        </w:rPr>
        <w:t>.</w:t>
      </w:r>
    </w:p>
    <w:p w14:paraId="108520AD">
      <w:pPr>
        <w:jc w:val="both"/>
        <w:rPr>
          <w:rFonts w:asciiTheme="minorHAnsi" w:hAnsiTheme="minorHAnsi" w:cstheme="minorHAnsi"/>
          <w:color w:val="222A35"/>
          <w:sz w:val="22"/>
          <w:szCs w:val="22"/>
        </w:rPr>
      </w:pPr>
    </w:p>
    <w:p w14:paraId="5E433E39">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 </w:t>
      </w:r>
      <w:r>
        <w:rPr>
          <w:rFonts w:asciiTheme="minorHAnsi" w:hAnsiTheme="minorHAnsi" w:cstheme="minorHAnsi"/>
          <w:b/>
          <w:color w:val="000000"/>
          <w:sz w:val="22"/>
          <w:szCs w:val="22"/>
          <w:u w:val="single"/>
        </w:rPr>
        <w:t>Nije primjenivo.</w:t>
      </w:r>
    </w:p>
    <w:p w14:paraId="54B70572">
      <w:pPr>
        <w:jc w:val="both"/>
        <w:rPr>
          <w:rFonts w:asciiTheme="minorHAnsi" w:hAnsiTheme="minorHAnsi" w:cstheme="minorHAnsi"/>
          <w:sz w:val="22"/>
          <w:szCs w:val="22"/>
        </w:rPr>
      </w:pPr>
    </w:p>
    <w:p w14:paraId="0C58C01B">
      <w:pPr>
        <w:pBdr>
          <w:top w:val="single" w:color="auto" w:sz="4" w:space="1"/>
          <w:left w:val="single" w:color="auto" w:sz="4" w:space="4"/>
          <w:bottom w:val="single" w:color="auto" w:sz="4" w:space="1"/>
          <w:right w:val="single" w:color="auto" w:sz="4" w:space="4"/>
        </w:pBdr>
        <w:shd w:val="clear" w:color="auto" w:fill="D9D9D9"/>
        <w:ind w:left="180"/>
        <w:rPr>
          <w:rFonts w:asciiTheme="minorHAnsi" w:hAnsiTheme="minorHAnsi" w:cstheme="minorHAnsi"/>
          <w:b/>
          <w:sz w:val="22"/>
          <w:szCs w:val="22"/>
        </w:rPr>
      </w:pPr>
      <w:r>
        <w:rPr>
          <w:rFonts w:asciiTheme="minorHAnsi" w:hAnsiTheme="minorHAnsi" w:cstheme="minorHAnsi"/>
          <w:b/>
          <w:sz w:val="22"/>
          <w:szCs w:val="22"/>
        </w:rPr>
        <w:t>ELEKTRONSKI KATALOG</w:t>
      </w:r>
      <w:r>
        <w:rPr>
          <w:rFonts w:asciiTheme="minorHAnsi" w:hAnsiTheme="minorHAnsi" w:cstheme="minorHAnsi"/>
          <w:b/>
          <w:color w:val="FF0000"/>
          <w:sz w:val="22"/>
          <w:szCs w:val="22"/>
        </w:rPr>
        <w:t xml:space="preserve"> </w:t>
      </w:r>
    </w:p>
    <w:p w14:paraId="43CE8F8B">
      <w:pPr>
        <w:jc w:val="both"/>
        <w:rPr>
          <w:rFonts w:asciiTheme="minorHAnsi" w:hAnsiTheme="minorHAnsi" w:cstheme="minorHAnsi"/>
          <w:color w:val="FF0000"/>
          <w:sz w:val="22"/>
          <w:szCs w:val="22"/>
        </w:rPr>
      </w:pPr>
    </w:p>
    <w:p w14:paraId="6665A920">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Elektronski katalog sastavlja ponuđač u skladu s tehničkim specifikacijama i u formi </w:t>
      </w:r>
    </w:p>
    <w:p w14:paraId="65162476">
      <w:pPr>
        <w:jc w:val="both"/>
        <w:rPr>
          <w:rFonts w:asciiTheme="minorHAnsi" w:hAnsiTheme="minorHAnsi" w:cstheme="minorHAnsi"/>
          <w:color w:val="222A35"/>
          <w:sz w:val="22"/>
          <w:szCs w:val="22"/>
        </w:rPr>
      </w:pPr>
    </w:p>
    <w:p w14:paraId="1D81BC07">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33ECA7E5">
      <w:pPr>
        <w:jc w:val="both"/>
        <w:rPr>
          <w:rFonts w:asciiTheme="minorHAnsi" w:hAnsiTheme="minorHAnsi" w:cstheme="minorHAnsi"/>
          <w:b/>
          <w:bCs/>
          <w:color w:val="FF0000"/>
          <w:sz w:val="22"/>
          <w:szCs w:val="22"/>
        </w:rPr>
      </w:pPr>
    </w:p>
    <w:p w14:paraId="18F1B9B6">
      <w:pPr>
        <w:pBdr>
          <w:top w:val="single" w:color="auto" w:sz="4" w:space="1"/>
          <w:left w:val="single" w:color="auto" w:sz="4" w:space="4"/>
          <w:bottom w:val="single" w:color="auto" w:sz="4" w:space="1"/>
          <w:right w:val="single" w:color="auto" w:sz="4" w:space="4"/>
        </w:pBdr>
        <w:shd w:val="clear" w:color="auto" w:fill="D9D9D9"/>
        <w:ind w:left="180"/>
        <w:jc w:val="both"/>
        <w:rPr>
          <w:rFonts w:asciiTheme="minorHAnsi" w:hAnsiTheme="minorHAnsi" w:cstheme="minorHAnsi"/>
          <w:b/>
          <w:bCs/>
          <w:color w:val="FF0000"/>
          <w:sz w:val="22"/>
          <w:szCs w:val="22"/>
        </w:rPr>
      </w:pPr>
      <w:r>
        <w:rPr>
          <w:rFonts w:asciiTheme="minorHAnsi" w:hAnsiTheme="minorHAnsi" w:cstheme="minorHAnsi"/>
          <w:b/>
          <w:sz w:val="22"/>
          <w:szCs w:val="22"/>
        </w:rPr>
        <w:t>REZERVISANA NABAVKA</w:t>
      </w:r>
    </w:p>
    <w:p w14:paraId="1E8B2BAD">
      <w:pPr>
        <w:jc w:val="both"/>
        <w:rPr>
          <w:rFonts w:asciiTheme="minorHAnsi" w:hAnsiTheme="minorHAnsi" w:cstheme="minorHAnsi"/>
          <w:b/>
          <w:bCs/>
          <w:color w:val="FF0000"/>
          <w:sz w:val="22"/>
          <w:szCs w:val="22"/>
        </w:rPr>
      </w:pPr>
    </w:p>
    <w:p w14:paraId="7AB9267B">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066341E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630" w:hanging="540"/>
        <w:jc w:val="both"/>
        <w:outlineLvl w:val="0"/>
        <w:rPr>
          <w:rFonts w:asciiTheme="minorHAnsi" w:hAnsiTheme="minorHAnsi" w:cstheme="minorHAnsi"/>
          <w:b/>
          <w:sz w:val="22"/>
          <w:szCs w:val="22"/>
        </w:rPr>
      </w:pPr>
      <w:bookmarkStart w:id="3" w:name="_Toc62730556"/>
      <w:r>
        <w:rPr>
          <w:rFonts w:asciiTheme="minorHAnsi" w:hAnsiTheme="minorHAnsi" w:cstheme="minorHAnsi"/>
          <w:b/>
          <w:sz w:val="22"/>
          <w:szCs w:val="22"/>
        </w:rPr>
        <w:t>NAČIN UTVRĐIVANJA EKVIVALENTNOSTI</w:t>
      </w:r>
      <w:bookmarkEnd w:id="3"/>
    </w:p>
    <w:p w14:paraId="4B68886C">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Način utvrđivanja ekvivalentnosti: </w:t>
      </w:r>
      <w:r>
        <w:rPr>
          <w:rFonts w:asciiTheme="minorHAnsi" w:hAnsiTheme="minorHAnsi" w:cstheme="minorHAnsi"/>
          <w:b/>
          <w:color w:val="000000"/>
          <w:sz w:val="22"/>
          <w:szCs w:val="22"/>
          <w:u w:val="single"/>
        </w:rPr>
        <w:t>Nije primjenivo.</w:t>
      </w:r>
    </w:p>
    <w:p w14:paraId="1F977E9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90" w:firstLine="0"/>
        <w:outlineLvl w:val="0"/>
        <w:rPr>
          <w:rFonts w:asciiTheme="minorHAnsi" w:hAnsiTheme="minorHAnsi" w:cstheme="minorHAnsi"/>
          <w:b/>
          <w:sz w:val="22"/>
          <w:szCs w:val="22"/>
        </w:rPr>
      </w:pPr>
      <w:bookmarkStart w:id="4" w:name="_Toc62730557"/>
      <w:r>
        <w:rPr>
          <w:rFonts w:asciiTheme="minorHAnsi" w:hAnsiTheme="minorHAnsi" w:cstheme="minorHAnsi"/>
          <w:b/>
          <w:sz w:val="22"/>
          <w:szCs w:val="22"/>
        </w:rPr>
        <w:t>OSNOVI ZA OBAVEZNO ISKLJUČENJE IZ POSTUPKA JAVNE NABAVKE</w:t>
      </w:r>
      <w:bookmarkEnd w:id="4"/>
    </w:p>
    <w:p w14:paraId="11E130B1">
      <w:pPr>
        <w:rPr>
          <w:rFonts w:asciiTheme="minorHAnsi" w:hAnsiTheme="minorHAnsi" w:cstheme="minorHAnsi"/>
          <w:sz w:val="22"/>
          <w:szCs w:val="22"/>
          <w:lang w:val="sr-Latn-ME"/>
        </w:rPr>
      </w:pPr>
      <w:r>
        <w:rPr>
          <w:rFonts w:asciiTheme="minorHAnsi" w:hAnsiTheme="minorHAnsi" w:cstheme="minorHAnsi"/>
          <w:sz w:val="22"/>
          <w:szCs w:val="22"/>
          <w:lang w:val="sr-Latn-ME"/>
        </w:rPr>
        <w:t xml:space="preserve">Privredni subjekat će se isključiti iz postupka javne nabavke, ako: </w:t>
      </w:r>
    </w:p>
    <w:p w14:paraId="0715C01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je vršio neprimjeren uticaj u smislu člana 38 stav 2 tačka 1 ovog zakona;</w:t>
      </w:r>
    </w:p>
    <w:p w14:paraId="6877A26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sukob interesa iz člana 41 stav 1 tačka 2 ili člana 42 ovog zakona;</w:t>
      </w:r>
    </w:p>
    <w:p w14:paraId="509F088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člana 99 ovog zakona;</w:t>
      </w:r>
    </w:p>
    <w:p w14:paraId="001760EA">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 102, 104 ili 106 ovog zakona predviđen tenderskom dokumentacijom;</w:t>
      </w:r>
    </w:p>
    <w:p w14:paraId="1BEDAF20">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izjavu privrednog subjekta ili dostavljena izjava ne sadrži informacije i podatke tražene tenderskom dokumentacijom ili je nepravilno sačinjena;</w:t>
      </w:r>
    </w:p>
    <w:p w14:paraId="0864285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razlog na osnovu kojeg se smatra da je odustao od prijave, odnosno ponude, a koji je propisan članom 120 stav 15 ovog zakona;</w:t>
      </w:r>
    </w:p>
    <w:p w14:paraId="056D085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2E5F747">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drugi razlog propisan ovim zakonom.</w:t>
      </w:r>
    </w:p>
    <w:p w14:paraId="0B4C3A6F">
      <w:pPr>
        <w:jc w:val="both"/>
        <w:rPr>
          <w:rFonts w:asciiTheme="minorHAnsi" w:hAnsiTheme="minorHAnsi" w:cstheme="minorHAnsi"/>
          <w:sz w:val="22"/>
          <w:szCs w:val="22"/>
        </w:rPr>
      </w:pPr>
    </w:p>
    <w:p w14:paraId="066A6D6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540" w:hanging="450"/>
        <w:outlineLvl w:val="0"/>
        <w:rPr>
          <w:rFonts w:asciiTheme="minorHAnsi" w:hAnsiTheme="minorHAnsi" w:cstheme="minorHAnsi"/>
          <w:b/>
          <w:sz w:val="22"/>
          <w:szCs w:val="22"/>
        </w:rPr>
      </w:pPr>
      <w:bookmarkStart w:id="5" w:name="_Toc62730558"/>
      <w:r>
        <w:rPr>
          <w:rFonts w:asciiTheme="minorHAnsi" w:hAnsiTheme="minorHAnsi" w:cstheme="minorHAnsi"/>
          <w:b/>
          <w:sz w:val="22"/>
          <w:szCs w:val="22"/>
        </w:rPr>
        <w:t>SREDSTVA FINANSIJSKOG OBEZBJEĐENJA UGOVORA O JAVNOJ NABAVCI</w:t>
      </w:r>
      <w:bookmarkEnd w:id="5"/>
    </w:p>
    <w:p w14:paraId="3BF48B72">
      <w:pPr>
        <w:jc w:val="both"/>
        <w:rPr>
          <w:rFonts w:asciiTheme="minorHAnsi" w:hAnsiTheme="minorHAnsi" w:cstheme="minorHAnsi"/>
          <w:color w:val="000000"/>
          <w:sz w:val="22"/>
          <w:szCs w:val="22"/>
        </w:rPr>
      </w:pPr>
    </w:p>
    <w:p w14:paraId="2F966BA2">
      <w:pPr>
        <w:jc w:val="both"/>
        <w:rPr>
          <w:rFonts w:asciiTheme="minorHAnsi" w:hAnsiTheme="minorHAnsi" w:cstheme="minorHAnsi"/>
          <w:color w:val="000000"/>
          <w:sz w:val="22"/>
          <w:szCs w:val="22"/>
          <w:lang w:val="sr-Latn-ME"/>
        </w:rPr>
      </w:pPr>
      <w:bookmarkStart w:id="6" w:name="_Toc62730559"/>
      <w:r>
        <w:rPr>
          <w:rFonts w:asciiTheme="minorHAnsi" w:hAnsiTheme="minorHAnsi" w:cstheme="minorHAnsi"/>
          <w:color w:val="000000"/>
          <w:sz w:val="22"/>
          <w:szCs w:val="22"/>
          <w:lang w:val="sr-Latn-ME"/>
        </w:rPr>
        <w:t>Ponuđač čija ponuda bude izabrana kao najpovoljnija je dužan da uz potpisan ugovor o javnoj nabavci dostavi naručiocu:</w:t>
      </w:r>
    </w:p>
    <w:p w14:paraId="38ABE9D0">
      <w:pPr>
        <w:jc w:val="both"/>
        <w:rPr>
          <w:rFonts w:asciiTheme="minorHAnsi" w:hAnsiTheme="minorHAnsi" w:cstheme="minorHAnsi"/>
          <w:sz w:val="22"/>
          <w:szCs w:val="22"/>
          <w:lang w:val="sr-Latn-ME"/>
        </w:rPr>
      </w:pPr>
      <w:r>
        <w:rPr>
          <w:rFonts w:asciiTheme="minorHAnsi" w:hAnsiTheme="minorHAnsi" w:cstheme="minorHAnsi"/>
          <w:color w:val="000000"/>
          <w:sz w:val="22"/>
          <w:szCs w:val="22"/>
          <w:lang w:val="sr-Latn-ME"/>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sz w:val="22"/>
          <w:szCs w:val="22"/>
          <w:lang w:val="sr-Latn-ME"/>
        </w:rPr>
        <w:t>garanciju za dobro izvršenje ugovora  ako su potpisnici dužni da ga izvršavaju</w:t>
      </w:r>
      <w:r>
        <w:rPr>
          <w:rFonts w:asciiTheme="minorHAnsi" w:hAnsiTheme="minorHAnsi" w:cstheme="minorHAnsi"/>
          <w:sz w:val="22"/>
          <w:szCs w:val="22"/>
          <w:vertAlign w:val="superscript"/>
          <w:lang w:val="sr-Latn-ME"/>
        </w:rPr>
        <w:footnoteReference w:id="5"/>
      </w:r>
      <w:r>
        <w:rPr>
          <w:rFonts w:asciiTheme="minorHAnsi" w:hAnsiTheme="minorHAnsi" w:cstheme="minorHAnsi"/>
          <w:sz w:val="22"/>
          <w:szCs w:val="22"/>
          <w:lang w:val="sr-Latn-ME"/>
        </w:rPr>
        <w:t xml:space="preserve">, za slučaj povrede ugovorenih obaveza </w:t>
      </w:r>
      <w:r>
        <w:rPr>
          <w:rFonts w:asciiTheme="minorHAnsi" w:hAnsiTheme="minorHAnsi" w:cstheme="minorHAnsi"/>
          <w:color w:val="000000"/>
          <w:sz w:val="22"/>
          <w:szCs w:val="22"/>
          <w:lang w:val="sr-Latn-ME"/>
        </w:rPr>
        <w:t>u iznosu od 10 % od vrijednosti ugovora</w:t>
      </w:r>
      <w:r>
        <w:rPr>
          <w:rFonts w:asciiTheme="minorHAnsi" w:hAnsiTheme="minorHAnsi" w:cstheme="minorHAnsi"/>
          <w:sz w:val="22"/>
          <w:szCs w:val="22"/>
          <w:vertAlign w:val="superscript"/>
          <w:lang w:val="sr-Latn-ME"/>
        </w:rPr>
        <w:t xml:space="preserve"> </w:t>
      </w:r>
      <w:r>
        <w:rPr>
          <w:rFonts w:asciiTheme="minorHAnsi" w:hAnsiTheme="minorHAnsi" w:cstheme="minorHAnsi"/>
          <w:sz w:val="22"/>
          <w:szCs w:val="22"/>
          <w:vertAlign w:val="superscript"/>
          <w:lang w:val="sr-Latn-ME"/>
        </w:rPr>
        <w:footnoteReference w:id="6"/>
      </w:r>
      <w:r>
        <w:rPr>
          <w:rFonts w:asciiTheme="minorHAnsi" w:hAnsiTheme="minorHAnsi" w:cstheme="minorHAnsi"/>
          <w:sz w:val="22"/>
          <w:szCs w:val="22"/>
          <w:lang w:val="sr-Latn-ME"/>
        </w:rPr>
        <w:t xml:space="preserve"> sa rokom vazenja 10 dana dužim od ugovorenog roka</w:t>
      </w:r>
    </w:p>
    <w:p w14:paraId="05F65163">
      <w:pPr>
        <w:jc w:val="both"/>
        <w:rPr>
          <w:rFonts w:asciiTheme="minorHAnsi" w:hAnsiTheme="minorHAnsi" w:cstheme="minorHAnsi"/>
          <w:sz w:val="22"/>
          <w:szCs w:val="22"/>
          <w:lang w:val="sr-Latn-ME"/>
        </w:rPr>
      </w:pPr>
    </w:p>
    <w:p w14:paraId="672DEEC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tabs>
          <w:tab w:val="left" w:pos="450"/>
        </w:tabs>
        <w:spacing w:before="240" w:after="160" w:line="259" w:lineRule="auto"/>
        <w:ind w:hanging="270"/>
        <w:outlineLvl w:val="0"/>
        <w:rPr>
          <w:rFonts w:asciiTheme="minorHAnsi" w:hAnsiTheme="minorHAnsi" w:cstheme="minorHAnsi"/>
          <w:b/>
          <w:color w:val="000000"/>
          <w:sz w:val="22"/>
          <w:szCs w:val="22"/>
        </w:rPr>
      </w:pPr>
      <w:r>
        <w:rPr>
          <w:rFonts w:asciiTheme="minorHAnsi" w:hAnsiTheme="minorHAnsi" w:cstheme="minorHAnsi"/>
          <w:b/>
          <w:sz w:val="22"/>
          <w:szCs w:val="22"/>
        </w:rPr>
        <w:t>METODOLOGIJA VREDNOVANJA PONUDA</w:t>
      </w:r>
      <w:bookmarkEnd w:id="6"/>
    </w:p>
    <w:p w14:paraId="682F6EA9">
      <w:pPr>
        <w:rPr>
          <w:rFonts w:asciiTheme="minorHAnsi" w:hAnsiTheme="minorHAnsi" w:cstheme="minorHAnsi"/>
          <w:sz w:val="22"/>
          <w:szCs w:val="22"/>
        </w:rPr>
      </w:pPr>
    </w:p>
    <w:p w14:paraId="7EB54612">
      <w:pPr>
        <w:jc w:val="both"/>
        <w:rPr>
          <w:rFonts w:asciiTheme="minorHAnsi" w:hAnsiTheme="minorHAnsi" w:cstheme="minorHAnsi"/>
          <w:sz w:val="22"/>
          <w:szCs w:val="22"/>
        </w:rPr>
      </w:pPr>
      <w:r>
        <w:rPr>
          <w:rFonts w:asciiTheme="minorHAnsi" w:hAnsiTheme="minorHAnsi" w:cstheme="minorHAnsi"/>
          <w:sz w:val="22"/>
          <w:szCs w:val="22"/>
        </w:rPr>
        <w:t>Naručilac će u postupku javne nabavki izabrati ekonomski najpovoljniju ponudu, primjenom pristupa isplativosti, po osnovu kriterijuma</w:t>
      </w:r>
      <w:r>
        <w:rPr>
          <w:rFonts w:asciiTheme="minorHAnsi" w:hAnsiTheme="minorHAnsi" w:cstheme="minorHAnsi"/>
          <w:sz w:val="22"/>
          <w:szCs w:val="22"/>
          <w:vertAlign w:val="superscript"/>
        </w:rPr>
        <w:footnoteReference w:id="7"/>
      </w:r>
      <w:r>
        <w:rPr>
          <w:rFonts w:asciiTheme="minorHAnsi" w:hAnsiTheme="minorHAnsi" w:cstheme="minorHAnsi"/>
          <w:sz w:val="22"/>
          <w:szCs w:val="22"/>
        </w:rPr>
        <w:t xml:space="preserve">: </w:t>
      </w:r>
    </w:p>
    <w:p w14:paraId="0B4E2A56">
      <w:pPr>
        <w:jc w:val="both"/>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odnos cijene i kvaliteta </w:t>
      </w:r>
    </w:p>
    <w:p w14:paraId="7E682B9B">
      <w:pPr>
        <w:jc w:val="both"/>
        <w:rPr>
          <w:rFonts w:asciiTheme="minorHAnsi" w:hAnsiTheme="minorHAnsi" w:cstheme="minorHAnsi"/>
          <w:sz w:val="22"/>
          <w:szCs w:val="2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0"/>
      </w:tblGrid>
      <w:tr w14:paraId="54CF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0" w:type="dxa"/>
          </w:tcPr>
          <w:p w14:paraId="27E7BD0B">
            <w:pPr>
              <w:widowControl w:val="0"/>
              <w:jc w:val="both"/>
              <w:rPr>
                <w:rFonts w:asciiTheme="minorHAnsi" w:hAnsiTheme="minorHAnsi" w:cstheme="minorHAnsi"/>
                <w:i/>
                <w:iCs/>
                <w:sz w:val="22"/>
                <w:szCs w:val="22"/>
              </w:rPr>
            </w:pPr>
            <w:r>
              <w:rPr>
                <w:rFonts w:asciiTheme="minorHAnsi" w:hAnsiTheme="minorHAnsi" w:cstheme="minorHAnsi"/>
                <w:i/>
                <w:iCs/>
                <w:sz w:val="22"/>
                <w:szCs w:val="22"/>
              </w:rPr>
              <w:t>Naručilac se opredijelio za vrednovanje ponuda po kriterijumu odnos cijene i kvaliteta, koje će se vršiti na osnovu sljedećih parametara:</w:t>
            </w:r>
          </w:p>
          <w:p w14:paraId="004C0C24">
            <w:pPr>
              <w:widowControl w:val="0"/>
              <w:jc w:val="both"/>
              <w:rPr>
                <w:rFonts w:asciiTheme="minorHAnsi" w:hAnsiTheme="minorHAnsi" w:cstheme="minorHAnsi"/>
                <w:i/>
                <w:iCs/>
                <w:sz w:val="22"/>
                <w:szCs w:val="22"/>
              </w:rPr>
            </w:pPr>
            <w:r>
              <w:rPr>
                <w:rFonts w:asciiTheme="minorHAnsi" w:hAnsiTheme="minorHAnsi" w:cstheme="minorHAnsi"/>
                <w:i/>
                <w:iCs/>
                <w:sz w:val="22"/>
                <w:szCs w:val="22"/>
              </w:rPr>
              <w:t>1. Parametar: Cijena (C) ..................maksimalan broj bodova 90</w:t>
            </w:r>
          </w:p>
          <w:p w14:paraId="007A7CF3">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2. Parametar: Kvalitet (K) ...............maksimalan broj bodova 10 </w:t>
            </w:r>
          </w:p>
          <w:p w14:paraId="76182EC6">
            <w:pPr>
              <w:widowControl w:val="0"/>
              <w:jc w:val="both"/>
              <w:rPr>
                <w:rFonts w:asciiTheme="minorHAnsi" w:hAnsiTheme="minorHAnsi" w:cstheme="minorHAnsi"/>
                <w:i/>
                <w:iCs/>
                <w:sz w:val="22"/>
                <w:szCs w:val="22"/>
              </w:rPr>
            </w:pPr>
          </w:p>
          <w:p w14:paraId="18C7487F">
            <w:pPr>
              <w:widowControl w:val="0"/>
              <w:jc w:val="both"/>
              <w:rPr>
                <w:rFonts w:asciiTheme="minorHAnsi" w:hAnsiTheme="minorHAnsi" w:cstheme="minorHAnsi"/>
                <w:i/>
                <w:iCs/>
                <w:sz w:val="22"/>
                <w:szCs w:val="22"/>
              </w:rPr>
            </w:pPr>
            <w:r>
              <w:rPr>
                <w:rFonts w:asciiTheme="minorHAnsi" w:hAnsiTheme="minorHAnsi" w:cstheme="minorHAnsi"/>
                <w:i/>
                <w:iCs/>
                <w:sz w:val="22"/>
                <w:szCs w:val="22"/>
              </w:rPr>
              <w:t xml:space="preserve">Ukupan broj bodova = broj bodova za ponuđenu cijenu (C) + broj bodova za kvalitet (K) </w:t>
            </w:r>
          </w:p>
          <w:p w14:paraId="3034F1DA">
            <w:pPr>
              <w:widowControl w:val="0"/>
              <w:jc w:val="both"/>
              <w:rPr>
                <w:rFonts w:asciiTheme="minorHAnsi" w:hAnsiTheme="minorHAnsi" w:cstheme="minorHAnsi"/>
                <w:i/>
                <w:iCs/>
                <w:sz w:val="22"/>
                <w:szCs w:val="22"/>
              </w:rPr>
            </w:pPr>
          </w:p>
          <w:p w14:paraId="7A2EF722">
            <w:pPr>
              <w:pStyle w:val="11"/>
              <w:widowControl w:val="0"/>
              <w:numPr>
                <w:ilvl w:val="0"/>
                <w:numId w:val="7"/>
              </w:numPr>
              <w:jc w:val="both"/>
              <w:rPr>
                <w:rFonts w:asciiTheme="minorHAnsi" w:hAnsiTheme="minorHAnsi" w:cstheme="minorHAnsi"/>
                <w:i/>
                <w:iCs/>
                <w:sz w:val="22"/>
                <w:szCs w:val="22"/>
              </w:rPr>
            </w:pPr>
            <w:r>
              <w:rPr>
                <w:rFonts w:asciiTheme="minorHAnsi" w:hAnsiTheme="minorHAnsi" w:cstheme="minorHAnsi"/>
                <w:i/>
                <w:iCs/>
                <w:sz w:val="22"/>
                <w:szCs w:val="22"/>
              </w:rPr>
              <w:t xml:space="preserve">Parametar cijena (C) vrednovaće se na sljedeći način: max </w:t>
            </w:r>
            <w:r>
              <w:rPr>
                <w:rFonts w:asciiTheme="minorHAnsi" w:hAnsiTheme="minorHAnsi" w:cstheme="minorHAnsi"/>
                <w:i/>
                <w:iCs/>
                <w:sz w:val="22"/>
                <w:szCs w:val="22"/>
                <w:lang w:val="sr-Latn-ME"/>
              </w:rPr>
              <w:t xml:space="preserve">80 </w:t>
            </w:r>
            <w:r>
              <w:rPr>
                <w:rFonts w:asciiTheme="minorHAnsi" w:hAnsiTheme="minorHAnsi" w:cstheme="minorHAnsi"/>
                <w:i/>
                <w:iCs/>
                <w:sz w:val="22"/>
                <w:szCs w:val="22"/>
              </w:rPr>
              <w:t xml:space="preserve">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76CBC35E">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rPr>
              <w:t>Broj bodova(C)= (najniža ponuđena cijena bez PDV / ponuđena cijena bez PDV) ×</w:t>
            </w:r>
            <w:r>
              <w:rPr>
                <w:rFonts w:asciiTheme="minorHAnsi" w:hAnsiTheme="minorHAnsi" w:cstheme="minorHAnsi"/>
                <w:i/>
                <w:iCs/>
                <w:sz w:val="22"/>
                <w:szCs w:val="22"/>
                <w:lang w:val="sr-Latn-ME"/>
              </w:rPr>
              <w:t>90</w:t>
            </w:r>
            <w:r>
              <w:rPr>
                <w:rFonts w:asciiTheme="minorHAnsi" w:hAnsiTheme="minorHAnsi" w:cstheme="minorHAnsi"/>
                <w:i/>
                <w:iCs/>
                <w:sz w:val="22"/>
                <w:szCs w:val="22"/>
              </w:rPr>
              <w:t xml:space="preserve"> </w:t>
            </w:r>
          </w:p>
          <w:p w14:paraId="0212DC45">
            <w:pPr>
              <w:pStyle w:val="11"/>
              <w:widowControl w:val="0"/>
              <w:ind w:left="360"/>
              <w:jc w:val="both"/>
              <w:rPr>
                <w:rFonts w:asciiTheme="minorHAnsi" w:hAnsiTheme="minorHAnsi" w:cstheme="minorHAnsi"/>
                <w:i/>
                <w:iCs/>
                <w:sz w:val="22"/>
                <w:szCs w:val="22"/>
              </w:rPr>
            </w:pPr>
            <w:r>
              <w:rPr>
                <w:rFonts w:asciiTheme="minorHAnsi" w:hAnsiTheme="minorHAnsi" w:cstheme="minorHAnsi"/>
                <w:i/>
                <w:iCs/>
                <w:sz w:val="22"/>
                <w:szCs w:val="22"/>
                <w:lang w:val="fr-FR"/>
              </w:rPr>
              <w:t xml:space="preserve">Ako je ponuđena cijena 0,00 EUR-a prilikom vrednovanja te cijene po parametru najniža ponuđena cijena uzima se da je ponuđena cijena 0,01 EUR. </w:t>
            </w:r>
          </w:p>
          <w:p w14:paraId="289904EE">
            <w:pPr>
              <w:widowControl w:val="0"/>
              <w:jc w:val="both"/>
              <w:rPr>
                <w:rFonts w:asciiTheme="minorHAnsi" w:hAnsiTheme="minorHAnsi" w:cstheme="minorHAnsi"/>
                <w:i/>
                <w:iCs/>
                <w:sz w:val="22"/>
                <w:szCs w:val="22"/>
                <w:lang w:val="fr-FR"/>
              </w:rPr>
            </w:pPr>
          </w:p>
          <w:p w14:paraId="04355427">
            <w:pPr>
              <w:pStyle w:val="11"/>
              <w:widowControl w:val="0"/>
              <w:numPr>
                <w:ilvl w:val="0"/>
                <w:numId w:val="7"/>
              </w:numPr>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Parametar kvalitet (K) vrednovaće se na sljedeći način: Maksimalan broj bodova po ovom potkriterijumu je 10.</w:t>
            </w:r>
          </w:p>
          <w:p w14:paraId="77925885">
            <w:pPr>
              <w:pStyle w:val="11"/>
              <w:widowControl w:val="0"/>
              <w:ind w:left="360"/>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Kao osnova za vrednovanje uzima se:</w:t>
            </w:r>
          </w:p>
          <w:p w14:paraId="57F98C84">
            <w:pPr>
              <w:pStyle w:val="11"/>
              <w:widowControl w:val="0"/>
              <w:ind w:left="360"/>
              <w:jc w:val="both"/>
              <w:rPr>
                <w:rFonts w:asciiTheme="minorHAnsi" w:hAnsiTheme="minorHAnsi" w:cstheme="minorHAnsi"/>
                <w:i/>
                <w:iCs/>
                <w:sz w:val="22"/>
                <w:szCs w:val="22"/>
                <w:lang w:val="fr-FR"/>
              </w:rPr>
            </w:pPr>
            <w:r>
              <w:rPr>
                <w:rFonts w:asciiTheme="minorHAnsi" w:hAnsiTheme="minorHAnsi" w:cstheme="minorHAnsi"/>
                <w:i/>
                <w:iCs/>
                <w:sz w:val="22"/>
                <w:szCs w:val="22"/>
              </w:rPr>
              <w:sym w:font="Wingdings" w:char="F078"/>
            </w:r>
            <w:r>
              <w:rPr>
                <w:rFonts w:asciiTheme="minorHAnsi" w:hAnsiTheme="minorHAnsi" w:cstheme="minorHAnsi"/>
                <w:i/>
                <w:iCs/>
                <w:sz w:val="22"/>
                <w:szCs w:val="22"/>
                <w:lang w:val="sr-Latn-ME"/>
              </w:rPr>
              <w:t xml:space="preserve"> rok odaziva za preuzimanje predmetnog korišćenog teretnog vozila na lokaciji ponuđača/dobavljača</w:t>
            </w:r>
          </w:p>
          <w:p w14:paraId="794E8847">
            <w:pPr>
              <w:widowControl w:val="0"/>
              <w:ind w:left="360"/>
              <w:jc w:val="both"/>
              <w:rPr>
                <w:rFonts w:asciiTheme="minorHAnsi" w:hAnsiTheme="minorHAnsi" w:cstheme="minorHAnsi"/>
                <w:i/>
                <w:iCs/>
                <w:sz w:val="22"/>
                <w:szCs w:val="22"/>
                <w:lang w:val="sr-Latn-ME"/>
              </w:rPr>
            </w:pPr>
            <w:r>
              <w:rPr>
                <w:rFonts w:eastAsia="sans-serif" w:asciiTheme="minorHAnsi" w:hAnsiTheme="minorHAnsi" w:cstheme="minorHAnsi"/>
                <w:i/>
                <w:iCs/>
                <w:sz w:val="22"/>
                <w:szCs w:val="22"/>
              </w:rPr>
              <w:t>Parametar kvalitet (K) – rok odaziva za preuzimanje predmetnog korišćenog teretnog vozila na lokaciji ponuđača/dobavljača, vrednovaće se na sljedeći način: max 10 bodova primjenom ovog parametra dobija ponuđač sa najkraćim ponuđenim rokom odaziva za preuzimanje korišćenog teretnog vozila, a drugi ponuđači dobijaju proporcionalno manji broj bodova po formuli: Broj bodova(K)= (najkraći ponuđeni rok odaziva za preuzimanje korišćenog teretnog vozila/ ponuđeni rok odaziva za preuzimanje korišćenog teretnog vozila × 10. Rok odaziva za preuzimanje korišćenog teretnog vozila iskazuje se u danima. Najduži ponuđeni rok odaziva za preuzimanje korišćenog teretnog vozila ne može biti duži od 5 dana od dostavljanja pisanog zahtjeva Naručioca.</w:t>
            </w:r>
          </w:p>
        </w:tc>
      </w:tr>
    </w:tbl>
    <w:p w14:paraId="783A95A2">
      <w:pPr>
        <w:jc w:val="both"/>
        <w:rPr>
          <w:rFonts w:asciiTheme="minorHAnsi" w:hAnsiTheme="minorHAnsi" w:cstheme="minorHAnsi"/>
          <w:i/>
          <w:iCs/>
          <w:color w:val="000000"/>
          <w:sz w:val="22"/>
          <w:szCs w:val="22"/>
        </w:rPr>
      </w:pPr>
    </w:p>
    <w:p w14:paraId="0D10788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7" w:name="_Toc62730560"/>
      <w:r>
        <w:rPr>
          <w:rFonts w:asciiTheme="minorHAnsi" w:hAnsiTheme="minorHAnsi" w:cstheme="minorHAnsi"/>
          <w:b/>
          <w:sz w:val="22"/>
          <w:szCs w:val="22"/>
        </w:rPr>
        <w:t>JEZIK PONUDE</w:t>
      </w:r>
      <w:bookmarkEnd w:id="7"/>
    </w:p>
    <w:p w14:paraId="4BECF723">
      <w:pPr>
        <w:jc w:val="both"/>
        <w:rPr>
          <w:rFonts w:asciiTheme="minorHAnsi" w:hAnsiTheme="minorHAnsi" w:cstheme="minorHAnsi"/>
          <w:b/>
          <w:bCs/>
          <w:color w:val="000000"/>
          <w:sz w:val="22"/>
          <w:szCs w:val="22"/>
        </w:rPr>
      </w:pPr>
    </w:p>
    <w:p w14:paraId="5CD1CB9C">
      <w:pPr>
        <w:jc w:val="both"/>
        <w:rPr>
          <w:rFonts w:asciiTheme="minorHAnsi" w:hAnsiTheme="minorHAnsi" w:cstheme="minorHAnsi"/>
          <w:color w:val="000000"/>
          <w:sz w:val="22"/>
          <w:szCs w:val="22"/>
        </w:rPr>
      </w:pPr>
      <w:r>
        <w:rPr>
          <w:rFonts w:asciiTheme="minorHAnsi" w:hAnsiTheme="minorHAnsi" w:cstheme="minorHAnsi"/>
          <w:color w:val="000000"/>
          <w:sz w:val="22"/>
          <w:szCs w:val="22"/>
        </w:rPr>
        <w:t>Ponuda se sačinjava na:</w:t>
      </w:r>
    </w:p>
    <w:p w14:paraId="777D0DF7">
      <w:pPr>
        <w:jc w:val="both"/>
        <w:rPr>
          <w:rFonts w:asciiTheme="minorHAnsi" w:hAnsiTheme="minorHAnsi" w:cstheme="minorHAnsi"/>
          <w:b/>
          <w:bCs/>
          <w:color w:val="000000"/>
          <w:sz w:val="22"/>
          <w:szCs w:val="22"/>
        </w:rPr>
      </w:pPr>
    </w:p>
    <w:p w14:paraId="138DA4F5">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crnogorski jezik i drugi jezik koji je u službenoj upotrebi u Crnoj Gori, u skladu sa Ustavom i zakonom</w:t>
      </w:r>
    </w:p>
    <w:p w14:paraId="3BFE17F5">
      <w:pPr>
        <w:jc w:val="both"/>
        <w:rPr>
          <w:rFonts w:asciiTheme="minorHAnsi" w:hAnsiTheme="minorHAnsi" w:cstheme="minorHAnsi"/>
          <w:color w:val="000000"/>
          <w:sz w:val="22"/>
          <w:szCs w:val="22"/>
        </w:rPr>
      </w:pPr>
    </w:p>
    <w:p w14:paraId="1DE9DA63">
      <w:pPr>
        <w:jc w:val="both"/>
        <w:rPr>
          <w:rFonts w:asciiTheme="minorHAnsi" w:hAnsiTheme="minorHAnsi" w:cstheme="minorHAnsi"/>
          <w:sz w:val="22"/>
          <w:szCs w:val="22"/>
          <w:lang w:val="sr-Latn-ME"/>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crnogorski jezik</w:t>
      </w:r>
      <w:r>
        <w:rPr>
          <w:rFonts w:asciiTheme="minorHAnsi" w:hAnsiTheme="minorHAnsi" w:cstheme="minorHAnsi"/>
          <w:color w:val="000000"/>
          <w:sz w:val="22"/>
          <w:szCs w:val="22"/>
          <w:lang w:val="sr-Latn-ME"/>
        </w:rPr>
        <w:t xml:space="preserve"> za ponudu u cjelini.</w:t>
      </w:r>
    </w:p>
    <w:p w14:paraId="2F6BCD4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8" w:name="_Toc62730561"/>
      <w:r>
        <w:rPr>
          <w:rFonts w:asciiTheme="minorHAnsi" w:hAnsiTheme="minorHAnsi" w:cstheme="minorHAnsi"/>
          <w:b/>
          <w:sz w:val="22"/>
          <w:szCs w:val="22"/>
        </w:rPr>
        <w:t>NAČIN, MJESTO I VRIJEME PODNOŠENJA PONUDA I OTVARANJA PONUDA</w:t>
      </w:r>
      <w:bookmarkEnd w:id="8"/>
    </w:p>
    <w:p w14:paraId="55AED0F1">
      <w:pPr>
        <w:jc w:val="both"/>
        <w:rPr>
          <w:rFonts w:asciiTheme="minorHAnsi" w:hAnsiTheme="minorHAnsi" w:cstheme="minorHAnsi"/>
          <w:b/>
          <w:bCs/>
          <w:color w:val="000000"/>
          <w:sz w:val="22"/>
          <w:szCs w:val="22"/>
        </w:rPr>
      </w:pPr>
    </w:p>
    <w:p w14:paraId="2C5497A2">
      <w:pPr>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Ponude se podnose preko ESJN-a  zaključno sa danom </w:t>
      </w:r>
      <w:r>
        <w:rPr>
          <w:rFonts w:asciiTheme="minorHAnsi" w:hAnsiTheme="minorHAnsi" w:cstheme="minorHAnsi"/>
          <w:b/>
          <w:color w:val="000000"/>
          <w:sz w:val="22"/>
          <w:szCs w:val="22"/>
          <w:lang w:val="sr-Latn-ME"/>
        </w:rPr>
        <w:t>20.01.2026</w:t>
      </w:r>
      <w:r>
        <w:rPr>
          <w:rFonts w:asciiTheme="minorHAnsi" w:hAnsiTheme="minorHAnsi" w:cstheme="minorHAnsi"/>
          <w:b/>
          <w:color w:val="000000"/>
          <w:sz w:val="22"/>
          <w:szCs w:val="22"/>
        </w:rPr>
        <w:t>. godine do 13:00 sati</w:t>
      </w:r>
      <w:r>
        <w:rPr>
          <w:rFonts w:asciiTheme="minorHAnsi" w:hAnsiTheme="minorHAnsi" w:cstheme="minorHAnsi"/>
          <w:color w:val="000000"/>
          <w:sz w:val="22"/>
          <w:szCs w:val="22"/>
        </w:rPr>
        <w:t xml:space="preserve">. </w:t>
      </w:r>
    </w:p>
    <w:p w14:paraId="4449EFEE">
      <w:pPr>
        <w:jc w:val="both"/>
        <w:rPr>
          <w:rFonts w:asciiTheme="minorHAnsi" w:hAnsiTheme="minorHAnsi" w:cstheme="minorHAnsi"/>
          <w:color w:val="000000"/>
          <w:sz w:val="22"/>
          <w:szCs w:val="22"/>
        </w:rPr>
      </w:pPr>
    </w:p>
    <w:p w14:paraId="638646C7">
      <w:pPr>
        <w:jc w:val="both"/>
        <w:rPr>
          <w:rFonts w:asciiTheme="minorHAnsi" w:hAnsiTheme="minorHAnsi" w:cstheme="minorHAnsi"/>
          <w:color w:val="000000"/>
          <w:sz w:val="22"/>
          <w:szCs w:val="22"/>
        </w:rPr>
      </w:pPr>
      <w:r>
        <w:rPr>
          <w:rFonts w:asciiTheme="minorHAnsi" w:hAnsiTheme="minorHAnsi" w:cstheme="minorHAnsi"/>
          <w:color w:val="000000"/>
          <w:sz w:val="22"/>
          <w:szCs w:val="22"/>
        </w:rPr>
        <w:t>Otvaranje ponuda održaće se dana</w:t>
      </w:r>
      <w:r>
        <w:rPr>
          <w:rFonts w:asciiTheme="minorHAnsi" w:hAnsiTheme="minorHAnsi" w:cstheme="minorHAnsi"/>
          <w:color w:val="000000"/>
          <w:sz w:val="22"/>
          <w:szCs w:val="22"/>
          <w:lang w:val="sr-Latn-ME"/>
        </w:rPr>
        <w:t xml:space="preserve"> 20.01.2026</w:t>
      </w:r>
      <w:r>
        <w:rPr>
          <w:rFonts w:asciiTheme="minorHAnsi" w:hAnsiTheme="minorHAnsi" w:cstheme="minorHAnsi"/>
          <w:color w:val="000000"/>
          <w:sz w:val="22"/>
          <w:szCs w:val="22"/>
        </w:rPr>
        <w:t>. godine u 13:00 sati.</w:t>
      </w:r>
    </w:p>
    <w:p w14:paraId="31562333">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asciiTheme="minorHAnsi" w:hAnsiTheme="minorHAnsi" w:cstheme="minorHAnsi"/>
          <w:i/>
          <w:iCs/>
          <w:color w:val="000000"/>
          <w:sz w:val="22"/>
          <w:szCs w:val="22"/>
        </w:rPr>
      </w:pPr>
    </w:p>
    <w:p w14:paraId="425E36CD">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FD"/>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Dio ponude koje se ne dostavlja preko ESJN-a, a odnosi se na Garanciju ponude dostavlja se:</w:t>
      </w:r>
      <w:r>
        <w:rPr>
          <w:rFonts w:asciiTheme="minorHAnsi" w:hAnsiTheme="minorHAnsi" w:cstheme="minorHAnsi"/>
          <w:color w:val="000000"/>
          <w:sz w:val="22"/>
          <w:szCs w:val="22"/>
        </w:rPr>
        <w:t xml:space="preserve"> </w:t>
      </w:r>
    </w:p>
    <w:p w14:paraId="33691E2E">
      <w:pPr>
        <w:jc w:val="both"/>
        <w:rPr>
          <w:rFonts w:asciiTheme="minorHAnsi" w:hAnsiTheme="minorHAnsi" w:cstheme="minorHAnsi"/>
          <w:color w:val="000000"/>
          <w:sz w:val="22"/>
          <w:szCs w:val="22"/>
        </w:rPr>
      </w:pPr>
    </w:p>
    <w:p w14:paraId="41CDCC2E">
      <w:pPr>
        <w:pStyle w:val="11"/>
        <w:numPr>
          <w:ilvl w:val="0"/>
          <w:numId w:val="8"/>
        </w:numPr>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neposrednim podnošenjem na arhivi naručioca na adresi Zabjelo, Bulevar Zetskih Vladara 1/15, </w:t>
      </w:r>
    </w:p>
    <w:p w14:paraId="127C4B4A">
      <w:pPr>
        <w:pStyle w:val="11"/>
        <w:numPr>
          <w:ilvl w:val="0"/>
          <w:numId w:val="8"/>
        </w:numPr>
        <w:jc w:val="both"/>
        <w:rPr>
          <w:rFonts w:asciiTheme="minorHAnsi" w:hAnsiTheme="minorHAnsi" w:cstheme="minorHAnsi"/>
          <w:color w:val="000000"/>
          <w:sz w:val="22"/>
          <w:szCs w:val="22"/>
        </w:rPr>
      </w:pPr>
      <w:r>
        <w:rPr>
          <w:rFonts w:eastAsia="Calibri" w:asciiTheme="minorHAnsi" w:hAnsiTheme="minorHAnsi" w:cstheme="minorHAnsi"/>
          <w:color w:val="000000"/>
          <w:sz w:val="22"/>
          <w:szCs w:val="22"/>
        </w:rPr>
        <w:t>preporučenom pošiljkom sa povratnicom na adresi Zabjelo, Bulevar Zetskih Vladara 1/15;</w:t>
      </w:r>
    </w:p>
    <w:p w14:paraId="7B88084A">
      <w:pPr>
        <w:pStyle w:val="11"/>
        <w:jc w:val="both"/>
        <w:rPr>
          <w:rFonts w:asciiTheme="minorHAnsi" w:hAnsiTheme="minorHAnsi" w:cstheme="minorHAnsi"/>
          <w:color w:val="000000"/>
          <w:sz w:val="22"/>
          <w:szCs w:val="22"/>
        </w:rPr>
      </w:pPr>
    </w:p>
    <w:p w14:paraId="599958B6">
      <w:pPr>
        <w:jc w:val="both"/>
        <w:rPr>
          <w:rFonts w:asciiTheme="minorHAnsi" w:hAnsiTheme="minorHAnsi" w:cstheme="minorHAnsi"/>
          <w:color w:val="000000"/>
          <w:sz w:val="22"/>
          <w:szCs w:val="22"/>
        </w:rPr>
      </w:pPr>
      <w:r>
        <w:rPr>
          <w:rFonts w:asciiTheme="minorHAnsi" w:hAnsiTheme="minorHAnsi" w:cstheme="minorHAnsi"/>
          <w:color w:val="000000"/>
          <w:sz w:val="22"/>
          <w:szCs w:val="22"/>
        </w:rPr>
        <w:t>radnim danima od 7:00 do 1</w:t>
      </w:r>
      <w:r>
        <w:rPr>
          <w:rFonts w:asciiTheme="minorHAnsi" w:hAnsiTheme="minorHAnsi" w:cstheme="minorHAnsi"/>
          <w:color w:val="000000"/>
          <w:sz w:val="22"/>
          <w:szCs w:val="22"/>
          <w:lang w:val="sr-Latn-ME"/>
        </w:rPr>
        <w:t>5</w:t>
      </w:r>
      <w:r>
        <w:rPr>
          <w:rFonts w:asciiTheme="minorHAnsi" w:hAnsiTheme="minorHAnsi" w:cstheme="minorHAnsi"/>
          <w:color w:val="000000"/>
          <w:sz w:val="22"/>
          <w:szCs w:val="22"/>
        </w:rPr>
        <w:t xml:space="preserve">:00 sati, zaključno sa danom </w:t>
      </w:r>
      <w:r>
        <w:rPr>
          <w:rFonts w:asciiTheme="minorHAnsi" w:hAnsiTheme="minorHAnsi" w:cstheme="minorHAnsi"/>
          <w:color w:val="000000"/>
          <w:sz w:val="22"/>
          <w:szCs w:val="22"/>
          <w:lang w:val="sr-Latn-ME"/>
        </w:rPr>
        <w:t>20. 01. 2026.</w:t>
      </w:r>
      <w:r>
        <w:rPr>
          <w:rFonts w:asciiTheme="minorHAnsi" w:hAnsiTheme="minorHAnsi" w:cstheme="minorHAnsi"/>
          <w:color w:val="000000"/>
          <w:sz w:val="22"/>
          <w:szCs w:val="22"/>
        </w:rPr>
        <w:t xml:space="preserve"> godine do 13:00 sati.</w:t>
      </w:r>
    </w:p>
    <w:p w14:paraId="5979FC1F">
      <w:pPr>
        <w:jc w:val="both"/>
        <w:rPr>
          <w:rFonts w:asciiTheme="minorHAnsi" w:hAnsiTheme="minorHAnsi" w:cstheme="minorHAnsi"/>
          <w:color w:val="000000"/>
          <w:sz w:val="22"/>
          <w:szCs w:val="22"/>
        </w:rPr>
      </w:pPr>
    </w:p>
    <w:p w14:paraId="4B1438A9">
      <w:pPr>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Napomena: Neradni dani Društva povodom državnih praznika od 01. Januara do 12. Januara 2026. godine</w:t>
      </w:r>
    </w:p>
    <w:p w14:paraId="2B885145">
      <w:pPr>
        <w:jc w:val="both"/>
        <w:rPr>
          <w:rFonts w:asciiTheme="minorHAnsi" w:hAnsiTheme="minorHAnsi" w:cstheme="minorHAnsi"/>
          <w:color w:val="000000"/>
          <w:sz w:val="22"/>
          <w:szCs w:val="22"/>
        </w:rPr>
      </w:pPr>
    </w:p>
    <w:p w14:paraId="27A2983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9" w:name="_Toc62730562"/>
      <w:r>
        <w:rPr>
          <w:rFonts w:asciiTheme="minorHAnsi" w:hAnsiTheme="minorHAnsi" w:cstheme="minorHAnsi"/>
          <w:b/>
          <w:sz w:val="22"/>
          <w:szCs w:val="22"/>
        </w:rPr>
        <w:t>USLOVI ZA AKTIVIRANJE GARANCIJE PONUDE</w:t>
      </w:r>
      <w:r>
        <w:rPr>
          <w:rFonts w:asciiTheme="minorHAnsi" w:hAnsiTheme="minorHAnsi" w:cstheme="minorHAnsi"/>
          <w:b/>
          <w:sz w:val="22"/>
          <w:szCs w:val="22"/>
          <w:vertAlign w:val="superscript"/>
        </w:rPr>
        <w:footnoteReference w:id="8"/>
      </w:r>
      <w:bookmarkEnd w:id="9"/>
    </w:p>
    <w:p w14:paraId="23B628C9">
      <w:pPr>
        <w:jc w:val="both"/>
        <w:rPr>
          <w:rFonts w:asciiTheme="minorHAnsi" w:hAnsiTheme="minorHAnsi" w:cstheme="minorHAnsi"/>
          <w:b/>
          <w:bCs/>
          <w:color w:val="000000"/>
          <w:sz w:val="22"/>
          <w:szCs w:val="22"/>
        </w:rPr>
      </w:pPr>
    </w:p>
    <w:p w14:paraId="1E476058">
      <w:pPr>
        <w:jc w:val="both"/>
        <w:rPr>
          <w:rFonts w:asciiTheme="minorHAnsi" w:hAnsiTheme="minorHAnsi" w:cstheme="minorHAnsi"/>
          <w:sz w:val="22"/>
          <w:szCs w:val="22"/>
          <w:lang w:val="sr-Latn-ME"/>
        </w:rPr>
      </w:pPr>
      <w:bookmarkStart w:id="10" w:name="_Toc62730563"/>
      <w:r>
        <w:rPr>
          <w:rFonts w:asciiTheme="minorHAnsi" w:hAnsiTheme="minorHAnsi" w:cstheme="minorHAnsi"/>
          <w:sz w:val="22"/>
          <w:szCs w:val="22"/>
          <w:lang w:val="sr-Latn-ME"/>
        </w:rPr>
        <w:t xml:space="preserve">Garancija ponude će se aktivirati ako ponuđač: </w:t>
      </w:r>
    </w:p>
    <w:p w14:paraId="3347C1B9">
      <w:pPr>
        <w:pStyle w:val="10"/>
        <w:ind w:left="567" w:hanging="283"/>
        <w:rPr>
          <w:rFonts w:asciiTheme="minorHAnsi" w:hAnsiTheme="minorHAnsi" w:cstheme="minorHAnsi"/>
          <w:lang w:val="sr-Latn-ME"/>
        </w:rPr>
      </w:pPr>
      <w:r>
        <w:rPr>
          <w:rFonts w:asciiTheme="minorHAnsi" w:hAnsiTheme="minorHAnsi" w:cstheme="minorHAnsi"/>
          <w:lang w:val="sr-Latn-ME"/>
        </w:rPr>
        <w:t>1) odustane od ponude u roku važenja ponude i/ili</w:t>
      </w:r>
    </w:p>
    <w:p w14:paraId="62DFA10F">
      <w:pPr>
        <w:pStyle w:val="10"/>
        <w:rPr>
          <w:rFonts w:asciiTheme="minorHAnsi" w:hAnsiTheme="minorHAnsi" w:cstheme="minorHAnsi"/>
          <w:lang w:val="sr-Latn-ME"/>
        </w:rPr>
      </w:pPr>
      <w:r>
        <w:rPr>
          <w:rFonts w:asciiTheme="minorHAnsi" w:hAnsiTheme="minorHAnsi" w:cstheme="minorHAnsi"/>
          <w:lang w:val="sr-Latn-ME"/>
        </w:rPr>
        <w:t xml:space="preserve"> 2) odbije da zaključi ugovor o javnoj nabavci ili okvirni sporazum.</w:t>
      </w:r>
    </w:p>
    <w:p w14:paraId="3832A7E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r>
        <w:rPr>
          <w:rFonts w:asciiTheme="minorHAnsi" w:hAnsiTheme="minorHAnsi" w:cstheme="minorHAnsi"/>
          <w:b/>
          <w:sz w:val="22"/>
          <w:szCs w:val="22"/>
        </w:rPr>
        <w:t>TAJNOST PODATAKA</w:t>
      </w:r>
      <w:bookmarkEnd w:id="10"/>
    </w:p>
    <w:p w14:paraId="0A5FE82B">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C5A6349">
      <w:pPr>
        <w:jc w:val="both"/>
        <w:rPr>
          <w:rFonts w:asciiTheme="minorHAnsi" w:hAnsiTheme="minorHAnsi" w:cstheme="minorHAnsi"/>
          <w:color w:val="000000"/>
          <w:sz w:val="22"/>
          <w:szCs w:val="22"/>
        </w:rPr>
      </w:pPr>
      <w:r>
        <w:rPr>
          <w:rFonts w:asciiTheme="minorHAnsi" w:hAnsiTheme="minorHAnsi" w:cstheme="minorHAnsi"/>
          <w:color w:val="000000"/>
          <w:sz w:val="22"/>
          <w:szCs w:val="22"/>
        </w:rPr>
        <w:t>Tenderska dokumentacija sadrži tajne podatke</w:t>
      </w:r>
    </w:p>
    <w:p w14:paraId="529F9AB2">
      <w:pPr>
        <w:jc w:val="both"/>
        <w:rPr>
          <w:rFonts w:asciiTheme="minorHAnsi" w:hAnsiTheme="minorHAnsi" w:cstheme="minorHAnsi"/>
          <w:color w:val="000000"/>
          <w:sz w:val="22"/>
          <w:szCs w:val="22"/>
        </w:rPr>
      </w:pPr>
    </w:p>
    <w:p w14:paraId="4FFE7AD3">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70BADA8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outlineLvl w:val="0"/>
        <w:rPr>
          <w:rFonts w:asciiTheme="minorHAnsi" w:hAnsiTheme="minorHAnsi" w:cstheme="minorHAnsi"/>
          <w:b/>
          <w:sz w:val="22"/>
          <w:szCs w:val="22"/>
        </w:rPr>
      </w:pPr>
      <w:bookmarkStart w:id="11" w:name="_Toc62730564"/>
      <w:r>
        <w:rPr>
          <w:rFonts w:asciiTheme="minorHAnsi" w:hAnsiTheme="minorHAnsi" w:cstheme="minorHAnsi"/>
          <w:b/>
          <w:sz w:val="22"/>
          <w:szCs w:val="22"/>
        </w:rPr>
        <w:t>UPUTSTVO ZA SAČINJAVANJE PONUDE</w:t>
      </w:r>
      <w:bookmarkEnd w:id="11"/>
    </w:p>
    <w:p w14:paraId="4B5E39C5">
      <w:pPr>
        <w:rPr>
          <w:rFonts w:asciiTheme="minorHAnsi" w:hAnsiTheme="minorHAnsi" w:cstheme="minorHAnsi"/>
          <w:sz w:val="22"/>
          <w:szCs w:val="22"/>
        </w:rPr>
      </w:pPr>
    </w:p>
    <w:p w14:paraId="78DB1467">
      <w:pPr>
        <w:jc w:val="both"/>
        <w:rPr>
          <w:rFonts w:asciiTheme="minorHAnsi" w:hAnsiTheme="minorHAnsi" w:cstheme="minorHAnsi"/>
          <w:sz w:val="22"/>
          <w:szCs w:val="22"/>
        </w:rPr>
      </w:pPr>
      <w:r>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07AAAB75">
      <w:pPr>
        <w:jc w:val="both"/>
        <w:rPr>
          <w:rFonts w:asciiTheme="minorHAnsi" w:hAnsiTheme="minorHAnsi" w:cstheme="minorHAnsi"/>
          <w:sz w:val="22"/>
          <w:szCs w:val="22"/>
        </w:rPr>
      </w:pPr>
      <w:r>
        <w:rPr>
          <w:rFonts w:asciiTheme="minorHAnsi" w:hAnsiTheme="minorHAnsi" w:cstheme="minorHAnsi"/>
          <w:sz w:val="22"/>
          <w:szCs w:val="22"/>
        </w:rPr>
        <w:t>Ispunjenost uslova za učešće u postupku javne nabavke dokazuje se izjavom privrednog subjekta.</w:t>
      </w:r>
      <w:r>
        <w:t xml:space="preserve"> </w:t>
      </w:r>
      <w:r>
        <w:rPr>
          <w:rFonts w:asciiTheme="minorHAnsi" w:hAnsiTheme="minorHAnsi" w:cstheme="minorHAnsi"/>
          <w:sz w:val="22"/>
          <w:szCs w:val="22"/>
        </w:rPr>
        <w:t>Izjava privrednog subjekta podnosi se u elektronskom obliku putem ESJN-a u skladu sa Pravilnikom o obrascu izjave privrednog subjekta "Službeni list Crne Gore, broj 114/2024" od 29.11.2024.</w:t>
      </w:r>
    </w:p>
    <w:p w14:paraId="4DF2A363">
      <w:pPr>
        <w:jc w:val="both"/>
        <w:rPr>
          <w:rFonts w:asciiTheme="minorHAnsi" w:hAnsiTheme="minorHAnsi" w:cstheme="minorHAnsi"/>
          <w:i/>
          <w:iCs/>
          <w:color w:val="000000"/>
          <w:sz w:val="22"/>
          <w:szCs w:val="22"/>
        </w:rPr>
      </w:pPr>
      <w:r>
        <w:rPr>
          <w:rFonts w:asciiTheme="minorHAnsi" w:hAnsiTheme="minorHAnsi" w:cstheme="minorHAnsi"/>
          <w:sz w:val="22"/>
          <w:szCs w:val="22"/>
        </w:rPr>
        <w:t xml:space="preserve">Ponuđač je dužan da tačno i nedvosmisleno popuni </w:t>
      </w:r>
      <w:r>
        <w:rPr>
          <w:rFonts w:eastAsia="Calibri" w:asciiTheme="minorHAnsi" w:hAnsiTheme="minorHAnsi" w:cstheme="minorHAnsi"/>
          <w:sz w:val="22"/>
          <w:szCs w:val="22"/>
        </w:rPr>
        <w:t>Izjavu privrednog subjekta u skladu sa zahtjevima iz tenderske dokumentacije.</w:t>
      </w:r>
    </w:p>
    <w:p w14:paraId="7072D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2" w:name="_Toc62730565"/>
      <w:r>
        <w:rPr>
          <w:rFonts w:asciiTheme="minorHAnsi" w:hAnsiTheme="minorHAnsi" w:cstheme="minorHAnsi"/>
          <w:b/>
          <w:sz w:val="22"/>
          <w:szCs w:val="22"/>
        </w:rPr>
        <w:t>NAČIN ZAKLJUČIVANJA I IZMJENE UGOVORA O JAVNOJ NABAVCI</w:t>
      </w:r>
      <w:bookmarkEnd w:id="12"/>
    </w:p>
    <w:p w14:paraId="01163525">
      <w:pPr>
        <w:jc w:val="both"/>
        <w:rPr>
          <w:rFonts w:asciiTheme="minorHAnsi" w:hAnsiTheme="minorHAnsi" w:cstheme="minorHAnsi"/>
          <w:i/>
          <w:sz w:val="22"/>
          <w:szCs w:val="22"/>
        </w:rPr>
      </w:pPr>
    </w:p>
    <w:p w14:paraId="4C0177D3">
      <w:pPr>
        <w:jc w:val="both"/>
        <w:rPr>
          <w:rFonts w:asciiTheme="minorHAnsi" w:hAnsiTheme="minorHAnsi" w:cstheme="minorHAnsi"/>
          <w:sz w:val="22"/>
          <w:szCs w:val="22"/>
        </w:rPr>
      </w:pPr>
      <w:r>
        <w:rPr>
          <w:rFonts w:asciiTheme="minorHAnsi" w:hAnsiTheme="minorHAnsi" w:cstheme="minorHAnsi"/>
          <w:sz w:val="22"/>
          <w:szCs w:val="22"/>
        </w:rPr>
        <w:t xml:space="preserve">Naručilac zaključuje ugovor o javnoj nabavci u pisanom ili elektronskom obliku sa ponuđačem čija je ponuda izabrana kao najpovoljnija, nakon izvršnosti odluke o izboru najpovoljnije ponude. </w:t>
      </w:r>
    </w:p>
    <w:p w14:paraId="6F5EBA02">
      <w:pPr>
        <w:jc w:val="both"/>
        <w:rPr>
          <w:rFonts w:asciiTheme="minorHAnsi" w:hAnsiTheme="minorHAnsi" w:cstheme="minorHAnsi"/>
          <w:sz w:val="22"/>
          <w:szCs w:val="22"/>
        </w:rPr>
      </w:pPr>
    </w:p>
    <w:p w14:paraId="2012DAA9">
      <w:pPr>
        <w:jc w:val="both"/>
        <w:rPr>
          <w:rFonts w:asciiTheme="minorHAnsi" w:hAnsiTheme="minorHAnsi" w:cstheme="minorHAnsi"/>
          <w:sz w:val="22"/>
          <w:szCs w:val="22"/>
        </w:rPr>
      </w:pPr>
      <w:r>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0E5B49A8">
      <w:pPr>
        <w:jc w:val="both"/>
        <w:rPr>
          <w:rFonts w:asciiTheme="minorHAnsi" w:hAnsiTheme="minorHAnsi" w:cstheme="minorHAnsi"/>
          <w:sz w:val="22"/>
          <w:szCs w:val="22"/>
        </w:rPr>
      </w:pPr>
    </w:p>
    <w:p w14:paraId="5F2577B7">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Pr>
          <w:rFonts w:asciiTheme="minorHAnsi" w:hAnsiTheme="minorHAnsi" w:cstheme="minorHAnsi"/>
          <w:color w:val="000000"/>
          <w:sz w:val="22"/>
          <w:szCs w:val="22"/>
          <w:vertAlign w:val="superscript"/>
        </w:rPr>
        <w:footnoteReference w:id="9"/>
      </w:r>
    </w:p>
    <w:p w14:paraId="2117B5FF">
      <w:pPr>
        <w:jc w:val="both"/>
        <w:rPr>
          <w:rFonts w:asciiTheme="minorHAnsi" w:hAnsiTheme="minorHAnsi" w:cstheme="minorHAnsi"/>
          <w:color w:val="000000"/>
          <w:sz w:val="22"/>
          <w:szCs w:val="22"/>
        </w:rPr>
      </w:pPr>
    </w:p>
    <w:p w14:paraId="4CCBE869">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Ugovorne strane su saglasne da do raskida Ugovora može doći ako Dobavljač ne bude izvršavao svoje obaveze u rokovima i na način predvidjen Ugovorom: </w:t>
      </w:r>
    </w:p>
    <w:p w14:paraId="459FEA7F">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 slučaju kada Naručilac ustanovi da roba koja je predmet ovog ugovora ili način na koje se isporučuje, odstupa od ponuđenog iz ponude Dobavljača. </w:t>
      </w:r>
    </w:p>
    <w:p w14:paraId="62EBAFE0">
      <w:pPr>
        <w:jc w:val="both"/>
        <w:rPr>
          <w:rFonts w:asciiTheme="minorHAnsi" w:hAnsiTheme="minorHAnsi" w:cstheme="minorHAnsi"/>
          <w:sz w:val="22"/>
          <w:szCs w:val="22"/>
        </w:rPr>
      </w:pPr>
    </w:p>
    <w:p w14:paraId="60703B1D">
      <w:pPr>
        <w:jc w:val="both"/>
        <w:rPr>
          <w:rFonts w:asciiTheme="minorHAnsi" w:hAnsiTheme="minorHAnsi" w:cstheme="minorHAnsi"/>
          <w:color w:val="000000"/>
          <w:sz w:val="22"/>
          <w:szCs w:val="22"/>
        </w:rPr>
      </w:pPr>
      <w:r>
        <w:rPr>
          <w:rFonts w:asciiTheme="minorHAnsi" w:hAnsiTheme="minorHAnsi" w:cstheme="minorHAnsi"/>
          <w:color w:val="000000"/>
          <w:sz w:val="22"/>
          <w:szCs w:val="22"/>
        </w:rPr>
        <w:t>Naručilac će imenovati lica koja će izvršiti kontrolu da li isporučeno sredstvo odgovara opisu i bitnim karakteristikama koji su definisani Tenderskom dokumentacijom I Ponudom Dobavljača. Isporuka sredstva biće izvršena i potvrđena Zapisnikom o primopredaji kojeg</w:t>
      </w:r>
    </w:p>
    <w:p w14:paraId="3149D5C2">
      <w:pPr>
        <w:jc w:val="both"/>
        <w:rPr>
          <w:rFonts w:asciiTheme="minorHAnsi" w:hAnsiTheme="minorHAnsi" w:cstheme="minorHAnsi"/>
          <w:color w:val="000000"/>
          <w:sz w:val="22"/>
          <w:szCs w:val="22"/>
        </w:rPr>
      </w:pPr>
      <w:r>
        <w:rPr>
          <w:rFonts w:asciiTheme="minorHAnsi" w:hAnsiTheme="minorHAnsi" w:cstheme="minorHAnsi"/>
          <w:color w:val="000000"/>
          <w:sz w:val="22"/>
          <w:szCs w:val="22"/>
        </w:rPr>
        <w:t>sačinjavaju i potpisuju ovlašćeni predstavnici ugovornih strana. Smatra se da je izvršena adekvatna isporuka kada ovlašćena lica Naručioca u mjestu isporuke izvrše prijem sredstva, što se potvrđuje zapisnikom, koji potpisuju prisutna ovlašćena lica Naručioca i Dobavljača. Ako se zapisnički utvrdi da sredstvo koje je Dobavljač isporučio Naručiocu ima nedostatke i očiglednih grešaka, Dobavljač mora iste otkloniti nakasnije u roku od 7 dana od dana sačinjavanja zapisnika o reklamaciji, a ukoliko to ne učini ili ako se ista ili slična greška ponovi, Dobavljač mora sredstvo zamijeniti novim koje ima jednake ili bolje tehničke karakteristike. Ukoliko Dobavljač ne postupi u skladu sa traženim, naručilac će raskinuti Ugovor i aktivirati Garanciju za dobro izvršenje ugovora.</w:t>
      </w:r>
    </w:p>
    <w:p w14:paraId="5D91C890">
      <w:pPr>
        <w:jc w:val="both"/>
        <w:rPr>
          <w:rFonts w:asciiTheme="minorHAnsi" w:hAnsiTheme="minorHAnsi" w:cstheme="minorHAnsi"/>
          <w:b/>
          <w:bCs/>
          <w:color w:val="000000"/>
          <w:sz w:val="22"/>
          <w:szCs w:val="22"/>
        </w:rPr>
      </w:pPr>
    </w:p>
    <w:p w14:paraId="789A3C01">
      <w:pPr>
        <w:jc w:val="both"/>
        <w:rPr>
          <w:rFonts w:asciiTheme="minorHAnsi" w:hAnsiTheme="minorHAnsi" w:cstheme="minorHAnsi"/>
          <w:sz w:val="22"/>
          <w:szCs w:val="22"/>
        </w:rPr>
      </w:pPr>
      <w:r>
        <w:rPr>
          <w:rFonts w:asciiTheme="minorHAnsi" w:hAnsiTheme="minorHAnsi" w:cstheme="minorHAnsi"/>
          <w:sz w:val="22"/>
          <w:szCs w:val="22"/>
        </w:rPr>
        <w:sym w:font="Wingdings" w:char="F0A8"/>
      </w:r>
      <w:r>
        <w:rPr>
          <w:rFonts w:asciiTheme="minorHAnsi" w:hAnsiTheme="minorHAnsi" w:cstheme="minorHAnsi"/>
          <w:sz w:val="22"/>
          <w:szCs w:val="22"/>
        </w:rPr>
        <w:t xml:space="preserve"> Ugovor o javnoj nabavci tokom njegovog trajanja može da se izmijeni bez sprovođenja novog postupka javne nabavke u skladu sa članom 151 Zakona o javnim nabavkama: </w:t>
      </w:r>
    </w:p>
    <w:p w14:paraId="4FFCEBF9">
      <w:pPr>
        <w:jc w:val="both"/>
        <w:rPr>
          <w:rFonts w:asciiTheme="minorHAnsi" w:hAnsiTheme="minorHAnsi" w:cstheme="minorHAnsi"/>
          <w:color w:val="000000"/>
          <w:sz w:val="22"/>
          <w:szCs w:val="22"/>
        </w:rPr>
      </w:pPr>
    </w:p>
    <w:p w14:paraId="34F581CE">
      <w:pPr>
        <w:jc w:val="both"/>
        <w:rPr>
          <w:rFonts w:asciiTheme="minorHAnsi" w:hAnsiTheme="minorHAnsi" w:cstheme="minorHAnsi"/>
          <w:color w:val="000000"/>
          <w:sz w:val="22"/>
          <w:szCs w:val="22"/>
        </w:rPr>
      </w:pPr>
      <w:r>
        <w:rPr>
          <w:rFonts w:asciiTheme="minorHAnsi" w:hAnsiTheme="minorHAnsi" w:cstheme="minorHAnsi"/>
          <w:color w:val="000000"/>
          <w:sz w:val="22"/>
          <w:szCs w:val="22"/>
        </w:rPr>
        <w:t>1) 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49818737">
      <w:pPr>
        <w:jc w:val="both"/>
        <w:rPr>
          <w:rFonts w:asciiTheme="minorHAnsi" w:hAnsiTheme="minorHAnsi" w:cstheme="minorHAnsi"/>
          <w:color w:val="000000"/>
          <w:sz w:val="22"/>
          <w:szCs w:val="22"/>
        </w:rPr>
      </w:pPr>
    </w:p>
    <w:p w14:paraId="092D187C">
      <w:pPr>
        <w:jc w:val="both"/>
        <w:rPr>
          <w:rFonts w:asciiTheme="minorHAnsi" w:hAnsiTheme="minorHAnsi" w:cstheme="minorHAnsi"/>
          <w:color w:val="000000"/>
          <w:sz w:val="22"/>
          <w:szCs w:val="22"/>
        </w:rPr>
      </w:pPr>
      <w:r>
        <w:rPr>
          <w:rFonts w:asciiTheme="minorHAnsi" w:hAnsiTheme="minorHAnsi" w:cstheme="minorHAnsi"/>
          <w:color w:val="000000"/>
          <w:sz w:val="22"/>
          <w:szCs w:val="22"/>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2210F5CF">
      <w:pPr>
        <w:jc w:val="both"/>
        <w:rPr>
          <w:rFonts w:asciiTheme="minorHAnsi" w:hAnsiTheme="minorHAnsi" w:cstheme="minorHAnsi"/>
          <w:color w:val="000000"/>
          <w:sz w:val="22"/>
          <w:szCs w:val="22"/>
        </w:rPr>
      </w:pPr>
    </w:p>
    <w:p w14:paraId="7FB2D8D7">
      <w:pPr>
        <w:jc w:val="both"/>
        <w:rPr>
          <w:rFonts w:asciiTheme="minorHAnsi" w:hAnsiTheme="minorHAnsi" w:cstheme="minorHAnsi"/>
          <w:color w:val="000000"/>
          <w:sz w:val="22"/>
          <w:szCs w:val="22"/>
        </w:rPr>
      </w:pPr>
      <w:r>
        <w:rPr>
          <w:rFonts w:asciiTheme="minorHAnsi" w:hAnsiTheme="minorHAnsi" w:cstheme="minorHAnsi"/>
          <w:color w:val="000000"/>
          <w:sz w:val="22"/>
          <w:szCs w:val="22"/>
        </w:rPr>
        <w:t>3)kada je potreba za izmjenom ugovora nastala zbog okolnosti koje naručilac u vrijeme zaključivanja ugovora nije mogao da predvidi, a izmjenom se ne mijenja priroda ugovora a povećanje vrijednosti ugovora nije veće od 20% vrijednosti prvobitnog ugovora.</w:t>
      </w:r>
    </w:p>
    <w:p w14:paraId="0B35BDB9">
      <w:pPr>
        <w:jc w:val="both"/>
        <w:rPr>
          <w:rFonts w:asciiTheme="minorHAnsi" w:hAnsiTheme="minorHAnsi" w:cstheme="minorHAnsi"/>
          <w:color w:val="000000"/>
          <w:sz w:val="22"/>
          <w:szCs w:val="22"/>
        </w:rPr>
      </w:pPr>
      <w:r>
        <w:rPr>
          <w:rFonts w:asciiTheme="minorHAnsi" w:hAnsiTheme="minorHAnsi" w:cstheme="minorHAnsi"/>
          <w:color w:val="000000"/>
          <w:sz w:val="22"/>
          <w:szCs w:val="22"/>
        </w:rPr>
        <w:t>3 a) kada je potreba za izmjenom ugovora nastala zbog okolnosti koje naručilac u vrijeme zaključivanja ugovora nije mogao da predvidi, a izmjenom se ne mijenja priroda ugovora već se vrši samo smanjenje ugovorene vrijednosti.</w:t>
      </w:r>
    </w:p>
    <w:p w14:paraId="27BC2160">
      <w:pPr>
        <w:jc w:val="both"/>
        <w:rPr>
          <w:rFonts w:asciiTheme="minorHAnsi" w:hAnsiTheme="minorHAnsi" w:cstheme="minorHAnsi"/>
          <w:color w:val="000000"/>
          <w:sz w:val="22"/>
          <w:szCs w:val="22"/>
        </w:rPr>
      </w:pPr>
      <w:r>
        <w:rPr>
          <w:rFonts w:asciiTheme="minorHAnsi" w:hAnsiTheme="minorHAnsi" w:cstheme="minorHAnsi"/>
          <w:color w:val="000000"/>
          <w:sz w:val="22"/>
          <w:szCs w:val="22"/>
        </w:rPr>
        <w:t>3 b) kada se vrši zamjena podugovarača u skladu sa članom 128 st.10,11, i 12 Zakona.</w:t>
      </w:r>
    </w:p>
    <w:p w14:paraId="77591811">
      <w:pPr>
        <w:jc w:val="both"/>
        <w:rPr>
          <w:rFonts w:asciiTheme="minorHAnsi" w:hAnsiTheme="minorHAnsi" w:cstheme="minorHAnsi"/>
          <w:color w:val="000000"/>
          <w:sz w:val="22"/>
          <w:szCs w:val="22"/>
        </w:rPr>
      </w:pPr>
      <w:r>
        <w:rPr>
          <w:rFonts w:asciiTheme="minorHAnsi" w:hAnsiTheme="minorHAnsi" w:cstheme="minorHAnsi"/>
          <w:color w:val="000000"/>
          <w:sz w:val="22"/>
          <w:szCs w:val="22"/>
        </w:rPr>
        <w:t>4) ako privrednog subjekta nakon restrukturiranja, uključujući preuzimanje, spajanje, kupovinu ili stečaj, 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2FFD4D39">
      <w:pPr>
        <w:jc w:val="both"/>
        <w:rPr>
          <w:rFonts w:asciiTheme="minorHAnsi" w:hAnsiTheme="minorHAnsi" w:cstheme="minorHAnsi"/>
          <w:color w:val="000000"/>
          <w:sz w:val="22"/>
          <w:szCs w:val="22"/>
        </w:rPr>
      </w:pPr>
    </w:p>
    <w:p w14:paraId="23883FBA">
      <w:pPr>
        <w:jc w:val="both"/>
        <w:rPr>
          <w:rFonts w:asciiTheme="minorHAnsi" w:hAnsiTheme="minorHAnsi" w:cstheme="minorHAnsi"/>
          <w:color w:val="000000"/>
          <w:sz w:val="22"/>
          <w:szCs w:val="22"/>
        </w:rPr>
      </w:pPr>
      <w:r>
        <w:rPr>
          <w:rFonts w:asciiTheme="minorHAnsi" w:hAnsiTheme="minorHAnsi" w:cstheme="minorHAnsi"/>
          <w:color w:val="000000"/>
          <w:sz w:val="22"/>
          <w:szCs w:val="22"/>
        </w:rPr>
        <w:t>Ponuđač je dužan da potpiše Ugovor u roku od 15 dana od dana dostavljanja, i u istom roku vrati Naručiocu potpisan ugovorvzajedno sa garancijom za dobro izvršenje ugovora i avansnom garancijom.</w:t>
      </w:r>
    </w:p>
    <w:p w14:paraId="3D018901">
      <w:pPr>
        <w:jc w:val="both"/>
        <w:rPr>
          <w:rFonts w:asciiTheme="minorHAnsi" w:hAnsiTheme="minorHAnsi" w:cstheme="minorHAnsi"/>
          <w:color w:val="000000"/>
          <w:sz w:val="22"/>
          <w:szCs w:val="22"/>
        </w:rPr>
      </w:pPr>
    </w:p>
    <w:p w14:paraId="39168C01">
      <w:pPr>
        <w:jc w:val="both"/>
        <w:rPr>
          <w:rFonts w:asciiTheme="minorHAnsi" w:hAnsiTheme="minorHAnsi" w:cstheme="minorHAnsi"/>
          <w:sz w:val="22"/>
          <w:szCs w:val="22"/>
        </w:rPr>
      </w:pPr>
      <w:r>
        <w:rPr>
          <w:rFonts w:asciiTheme="minorHAnsi" w:hAnsiTheme="minorHAnsi" w:cstheme="minorHAnsi"/>
          <w:color w:val="000000"/>
          <w:sz w:val="22"/>
          <w:szCs w:val="22"/>
        </w:rPr>
        <w:t>Ugovor o javnoj nabavci koji je zaključen uz kršenje antikorupcijskog pravila u skladu sa odredbama člana 38 ZJN (Sl.list Crne Gore br. 74/19</w:t>
      </w:r>
      <w:r>
        <w:rPr>
          <w:rFonts w:asciiTheme="minorHAnsi" w:hAnsiTheme="minorHAnsi" w:cstheme="minorHAnsi"/>
          <w:color w:val="000000"/>
          <w:sz w:val="22"/>
          <w:szCs w:val="22"/>
          <w:lang w:val="sr-Latn-ME"/>
        </w:rPr>
        <w:t>, 03/23 i 11/23</w:t>
      </w:r>
      <w:r>
        <w:rPr>
          <w:rFonts w:asciiTheme="minorHAnsi" w:hAnsiTheme="minorHAnsi" w:cstheme="minorHAnsi"/>
          <w:color w:val="000000"/>
          <w:sz w:val="22"/>
          <w:szCs w:val="22"/>
        </w:rPr>
        <w:t>) ništav je.</w:t>
      </w:r>
    </w:p>
    <w:p w14:paraId="5D7F1795">
      <w:pPr>
        <w:rPr>
          <w:rFonts w:asciiTheme="minorHAnsi" w:hAnsiTheme="minorHAnsi" w:cstheme="minorHAnsi"/>
          <w:b/>
          <w:bCs/>
          <w:color w:val="FF0000"/>
          <w:sz w:val="22"/>
          <w:szCs w:val="22"/>
        </w:rPr>
      </w:pPr>
      <w:r>
        <w:rPr>
          <w:rFonts w:asciiTheme="minorHAnsi" w:hAnsiTheme="minorHAnsi" w:cstheme="minorHAnsi"/>
          <w:b/>
          <w:bCs/>
          <w:color w:val="FF0000"/>
          <w:sz w:val="22"/>
          <w:szCs w:val="22"/>
        </w:rPr>
        <w:br w:type="page"/>
      </w:r>
    </w:p>
    <w:p w14:paraId="10B4FF4C">
      <w:pPr>
        <w:jc w:val="both"/>
        <w:rPr>
          <w:rFonts w:asciiTheme="minorHAnsi" w:hAnsiTheme="minorHAnsi" w:cstheme="minorHAnsi"/>
          <w:b/>
          <w:bCs/>
          <w:color w:val="FF0000"/>
          <w:sz w:val="22"/>
          <w:szCs w:val="22"/>
        </w:rPr>
      </w:pPr>
    </w:p>
    <w:p w14:paraId="515F43AC">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270"/>
        <w:jc w:val="both"/>
        <w:outlineLvl w:val="0"/>
        <w:rPr>
          <w:rFonts w:asciiTheme="minorHAnsi" w:hAnsiTheme="minorHAnsi" w:cstheme="minorHAnsi"/>
          <w:b/>
          <w:sz w:val="22"/>
          <w:szCs w:val="22"/>
        </w:rPr>
      </w:pPr>
      <w:bookmarkStart w:id="13" w:name="_Toc62730566"/>
      <w:r>
        <w:rPr>
          <w:rFonts w:asciiTheme="minorHAnsi" w:hAnsiTheme="minorHAnsi" w:cstheme="minorHAnsi"/>
          <w:b/>
          <w:sz w:val="22"/>
          <w:szCs w:val="22"/>
        </w:rPr>
        <w:t>ZAHTJEV ZA POJAŠNJENJE ILI IZMJENU I DOPUNU TENDERSKE DOKUMENTACIJE</w:t>
      </w:r>
      <w:bookmarkEnd w:id="13"/>
    </w:p>
    <w:p w14:paraId="4EB3EC15">
      <w:pPr>
        <w:jc w:val="both"/>
        <w:rPr>
          <w:rFonts w:asciiTheme="minorHAnsi" w:hAnsiTheme="minorHAnsi" w:cstheme="minorHAnsi"/>
          <w:sz w:val="22"/>
          <w:szCs w:val="22"/>
        </w:rPr>
      </w:pPr>
    </w:p>
    <w:p w14:paraId="6774D039">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764F872">
      <w:pPr>
        <w:jc w:val="both"/>
        <w:rPr>
          <w:rFonts w:asciiTheme="minorHAnsi" w:hAnsiTheme="minorHAnsi" w:cstheme="minorHAnsi"/>
          <w:sz w:val="22"/>
          <w:szCs w:val="22"/>
        </w:rPr>
      </w:pPr>
    </w:p>
    <w:p w14:paraId="479BE9CE">
      <w:pPr>
        <w:jc w:val="both"/>
        <w:rPr>
          <w:rFonts w:asciiTheme="minorHAnsi" w:hAnsiTheme="minorHAnsi" w:cstheme="minorHAnsi"/>
          <w:sz w:val="22"/>
          <w:szCs w:val="22"/>
        </w:rPr>
      </w:pPr>
      <w:r>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43656D1C">
      <w:pPr>
        <w:jc w:val="both"/>
        <w:rPr>
          <w:rFonts w:asciiTheme="minorHAnsi" w:hAnsiTheme="minorHAnsi" w:cstheme="minorHAnsi"/>
          <w:sz w:val="22"/>
          <w:szCs w:val="22"/>
        </w:rPr>
      </w:pPr>
    </w:p>
    <w:p w14:paraId="2517ACE1">
      <w:pPr>
        <w:jc w:val="both"/>
        <w:rPr>
          <w:rFonts w:asciiTheme="minorHAnsi" w:hAnsiTheme="minorHAnsi" w:cstheme="minorHAnsi"/>
          <w:color w:val="000000"/>
          <w:sz w:val="22"/>
          <w:szCs w:val="22"/>
        </w:rPr>
      </w:pPr>
      <w:r>
        <w:rPr>
          <w:rFonts w:asciiTheme="minorHAnsi" w:hAnsiTheme="minorHAnsi" w:cstheme="minorHAnsi"/>
          <w:color w:val="000000"/>
          <w:sz w:val="22"/>
          <w:szCs w:val="22"/>
        </w:rPr>
        <w:t>Zahtjev se podnosi isključivo putem ESJN-a.</w:t>
      </w:r>
    </w:p>
    <w:p w14:paraId="1850082F">
      <w:pPr>
        <w:jc w:val="both"/>
        <w:rPr>
          <w:rFonts w:asciiTheme="minorHAnsi" w:hAnsiTheme="minorHAnsi" w:cstheme="minorHAnsi"/>
          <w:color w:val="000000"/>
          <w:sz w:val="22"/>
          <w:szCs w:val="22"/>
        </w:rPr>
      </w:pPr>
    </w:p>
    <w:p w14:paraId="5156C1C0">
      <w:pPr>
        <w:jc w:val="both"/>
        <w:rPr>
          <w:rFonts w:asciiTheme="minorHAnsi" w:hAnsiTheme="minorHAnsi" w:cstheme="minorHAnsi"/>
          <w:color w:val="000000"/>
          <w:sz w:val="22"/>
          <w:szCs w:val="22"/>
        </w:rPr>
      </w:pPr>
    </w:p>
    <w:p w14:paraId="0853B1F4">
      <w:pPr>
        <w:jc w:val="both"/>
        <w:rPr>
          <w:rFonts w:asciiTheme="minorHAnsi" w:hAnsiTheme="minorHAnsi" w:cstheme="minorHAnsi"/>
          <w:color w:val="000000"/>
          <w:sz w:val="22"/>
          <w:szCs w:val="22"/>
        </w:rPr>
      </w:pPr>
    </w:p>
    <w:p w14:paraId="0DDE90E5">
      <w:pPr>
        <w:jc w:val="both"/>
        <w:rPr>
          <w:rFonts w:asciiTheme="minorHAnsi" w:hAnsiTheme="minorHAnsi" w:cstheme="minorHAnsi"/>
          <w:color w:val="000000"/>
          <w:sz w:val="22"/>
          <w:szCs w:val="22"/>
        </w:rPr>
      </w:pPr>
    </w:p>
    <w:p w14:paraId="2E695DF6">
      <w:pPr>
        <w:jc w:val="both"/>
        <w:rPr>
          <w:rFonts w:asciiTheme="minorHAnsi" w:hAnsiTheme="minorHAnsi" w:cstheme="minorHAnsi"/>
          <w:color w:val="000000"/>
          <w:sz w:val="22"/>
          <w:szCs w:val="22"/>
        </w:rPr>
      </w:pPr>
    </w:p>
    <w:p w14:paraId="27E505DF">
      <w:pPr>
        <w:jc w:val="both"/>
        <w:rPr>
          <w:rFonts w:asciiTheme="minorHAnsi" w:hAnsiTheme="minorHAnsi" w:cstheme="minorHAnsi"/>
          <w:color w:val="000000"/>
          <w:sz w:val="22"/>
          <w:szCs w:val="22"/>
        </w:rPr>
      </w:pPr>
    </w:p>
    <w:p w14:paraId="70AC89B3">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181F0F0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asciiTheme="minorHAnsi" w:hAnsiTheme="minorHAnsi" w:cstheme="minorHAnsi"/>
          <w:b/>
          <w:color w:val="000000"/>
          <w:sz w:val="22"/>
          <w:szCs w:val="22"/>
        </w:rPr>
      </w:pPr>
      <w:bookmarkStart w:id="14" w:name="_Toc508349235"/>
      <w:bookmarkStart w:id="15" w:name="_Toc62730567"/>
      <w:bookmarkStart w:id="16" w:name="_Toc416180136"/>
      <w:r>
        <w:rPr>
          <w:rFonts w:asciiTheme="minorHAnsi" w:hAnsiTheme="minorHAnsi" w:cstheme="minorHAnsi"/>
          <w:b/>
          <w:sz w:val="22"/>
          <w:szCs w:val="22"/>
        </w:rPr>
        <w:t>IZJAVA NARUČIOCA O NEPOSTOJANJU SUKOBA INTERESA</w:t>
      </w:r>
      <w:bookmarkEnd w:id="14"/>
      <w:bookmarkEnd w:id="15"/>
      <w:bookmarkEnd w:id="16"/>
    </w:p>
    <w:p w14:paraId="69111EA9">
      <w:pPr>
        <w:tabs>
          <w:tab w:val="left" w:pos="1701"/>
          <w:tab w:val="left" w:pos="4820"/>
        </w:tabs>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Putevi doo Podgorica</w:t>
      </w:r>
    </w:p>
    <w:p w14:paraId="50D2345A">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Broj: 16044</w:t>
      </w:r>
    </w:p>
    <w:p w14:paraId="2B2F3D4F">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Mjesto i datum:</w:t>
      </w:r>
      <w:r>
        <w:rPr>
          <w:rFonts w:asciiTheme="minorHAnsi" w:hAnsiTheme="minorHAnsi" w:cstheme="minorHAnsi"/>
          <w:color w:val="000000"/>
          <w:sz w:val="22"/>
          <w:szCs w:val="22"/>
          <w:lang w:val="sr-Latn-ME"/>
        </w:rPr>
        <w:t xml:space="preserve"> Podgorica, 30. 12. 2025.godine</w:t>
      </w:r>
    </w:p>
    <w:p w14:paraId="4E4FC6A8">
      <w:pPr>
        <w:jc w:val="both"/>
        <w:rPr>
          <w:rFonts w:asciiTheme="minorHAnsi" w:hAnsiTheme="minorHAnsi" w:cstheme="minorHAnsi"/>
          <w:b/>
          <w:bCs/>
          <w:color w:val="000000"/>
          <w:sz w:val="22"/>
          <w:szCs w:val="22"/>
        </w:rPr>
      </w:pPr>
    </w:p>
    <w:p w14:paraId="6584F565">
      <w:pPr>
        <w:tabs>
          <w:tab w:val="left" w:pos="3290"/>
        </w:tabs>
        <w:ind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U skladu sa članom 43 stav 1 Zakona o javnim nabavkama („Službeni list CG”, br.74/19</w:t>
      </w:r>
      <w:r>
        <w:rPr>
          <w:rFonts w:asciiTheme="minorHAnsi" w:hAnsiTheme="minorHAnsi" w:cstheme="minorHAnsi"/>
          <w:color w:val="000000"/>
          <w:sz w:val="22"/>
          <w:szCs w:val="22"/>
          <w:lang w:val="sr-Latn-ME"/>
        </w:rPr>
        <w:t xml:space="preserve"> i 3/23 i 011/23</w:t>
      </w:r>
      <w:r>
        <w:rPr>
          <w:rFonts w:asciiTheme="minorHAnsi" w:hAnsiTheme="minorHAnsi" w:cstheme="minorHAnsi"/>
          <w:color w:val="000000"/>
          <w:sz w:val="22"/>
          <w:szCs w:val="22"/>
        </w:rPr>
        <w:t xml:space="preserve">), </w:t>
      </w:r>
    </w:p>
    <w:p w14:paraId="31F60A7F">
      <w:pPr>
        <w:tabs>
          <w:tab w:val="left" w:pos="3290"/>
        </w:tabs>
        <w:jc w:val="center"/>
        <w:rPr>
          <w:rFonts w:asciiTheme="minorHAnsi" w:hAnsiTheme="minorHAnsi" w:cstheme="minorHAnsi"/>
          <w:b/>
          <w:bCs/>
          <w:color w:val="000000"/>
          <w:sz w:val="22"/>
          <w:szCs w:val="22"/>
        </w:rPr>
      </w:pPr>
    </w:p>
    <w:p w14:paraId="38C6FFC7">
      <w:pPr>
        <w:tabs>
          <w:tab w:val="left" w:pos="329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Izjavljujem</w:t>
      </w:r>
    </w:p>
    <w:p w14:paraId="454F5833">
      <w:pPr>
        <w:tabs>
          <w:tab w:val="left" w:pos="3290"/>
        </w:tabs>
        <w:jc w:val="both"/>
        <w:rPr>
          <w:rFonts w:asciiTheme="minorHAnsi" w:hAnsiTheme="minorHAnsi" w:cstheme="minorHAnsi"/>
          <w:color w:val="000000"/>
          <w:sz w:val="22"/>
          <w:szCs w:val="22"/>
        </w:rPr>
      </w:pPr>
    </w:p>
    <w:p w14:paraId="0B60D3F2">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da u postupku javne nabavke redni broj 46 iz Plana javnih nabavki br. 22147, objavljenog na portalu  Direktorata za politiku javnih nabavki, dana 5. decembra 2025.godine, zavedenim pod brojem 2567/6, za nabavku robe - Građevinska mehanizacija (korišćeno specijalno teretno vozilo), nijesam u sukobu interesa u smislu člana 41 stav 1 tačka 1 Zakona o javnim nabavkama i da ne postoji ekonomski i drugi lični interes koji može uticati na moju nepristrasnost i nezavisnost u ovom postupku javne nabavke. </w:t>
      </w:r>
    </w:p>
    <w:p w14:paraId="222BD557">
      <w:pPr>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 xml:space="preserve">Ovlašćeno lice naručioca </w:t>
      </w:r>
    </w:p>
    <w:p w14:paraId="06A43FCE">
      <w:pPr>
        <w:jc w:val="center"/>
        <w:rPr>
          <w:rFonts w:eastAsia="Calibri" w:asciiTheme="minorHAnsi" w:hAnsiTheme="minorHAnsi" w:cstheme="minorHAnsi"/>
          <w:b/>
          <w:color w:val="000000"/>
          <w:sz w:val="22"/>
          <w:szCs w:val="22"/>
        </w:rPr>
      </w:pPr>
      <w:r>
        <w:rPr>
          <w:rFonts w:eastAsia="Calibri" w:asciiTheme="minorHAnsi" w:hAnsiTheme="minorHAnsi" w:cstheme="minorHAnsi"/>
          <w:b/>
          <w:color w:val="000000"/>
          <w:sz w:val="22"/>
          <w:szCs w:val="22"/>
        </w:rPr>
        <w:t xml:space="preserve">                                                                                                    </w:t>
      </w:r>
      <w:r>
        <w:rPr>
          <w:rFonts w:eastAsia="Calibri" w:asciiTheme="minorHAnsi" w:hAnsiTheme="minorHAnsi" w:cstheme="minorHAnsi"/>
          <w:b/>
          <w:color w:val="000000"/>
          <w:sz w:val="22"/>
          <w:szCs w:val="22"/>
          <w:lang w:val="sr-Latn-ME"/>
        </w:rPr>
        <w:t xml:space="preserve">                                             </w:t>
      </w:r>
      <w:r>
        <w:rPr>
          <w:rFonts w:eastAsia="Calibri" w:asciiTheme="minorHAnsi" w:hAnsiTheme="minorHAnsi" w:cstheme="minorHAnsi"/>
          <w:b/>
          <w:color w:val="000000"/>
          <w:sz w:val="22"/>
          <w:szCs w:val="22"/>
        </w:rPr>
        <w:t xml:space="preserve"> Izvršni direktor</w:t>
      </w:r>
    </w:p>
    <w:p w14:paraId="6630631A">
      <w:pPr>
        <w:jc w:val="center"/>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Radoš Zečević, dipl.pravnik.</w:t>
      </w:r>
    </w:p>
    <w:p w14:paraId="6956CF29">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p>
    <w:p w14:paraId="42563541">
      <w:pPr>
        <w:tabs>
          <w:tab w:val="left" w:pos="3290"/>
        </w:tabs>
        <w:ind w:left="5664" w:firstLine="708"/>
        <w:jc w:val="cente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w:t>
      </w:r>
    </w:p>
    <w:p w14:paraId="0045E4E5">
      <w:pPr>
        <w:ind w:firstLine="1134"/>
        <w:jc w:val="right"/>
        <w:rPr>
          <w:rFonts w:eastAsia="Calibri" w:asciiTheme="minorHAnsi" w:hAnsiTheme="minorHAnsi" w:cstheme="minorHAnsi"/>
          <w:b/>
          <w:sz w:val="22"/>
          <w:szCs w:val="22"/>
        </w:rPr>
      </w:pPr>
      <w:r>
        <w:rPr>
          <w:rFonts w:asciiTheme="minorHAnsi" w:hAnsiTheme="minorHAnsi" w:cstheme="minorHAnsi"/>
          <w:b/>
          <w:color w:val="000000"/>
          <w:sz w:val="22"/>
          <w:szCs w:val="22"/>
        </w:rPr>
        <w:t>Službenik za javne nabavke</w:t>
      </w:r>
      <w:r>
        <w:rPr>
          <w:rFonts w:eastAsia="Calibri" w:asciiTheme="minorHAnsi" w:hAnsiTheme="minorHAnsi" w:cstheme="minorHAnsi"/>
          <w:b/>
          <w:sz w:val="22"/>
          <w:szCs w:val="22"/>
        </w:rPr>
        <w:t xml:space="preserve"> </w:t>
      </w:r>
    </w:p>
    <w:p w14:paraId="146AD659">
      <w:pPr>
        <w:wordWrap w:val="0"/>
        <w:ind w:firstLine="1134"/>
        <w:jc w:val="right"/>
        <w:rPr>
          <w:rFonts w:eastAsia="Calibri" w:asciiTheme="minorHAnsi" w:hAnsiTheme="minorHAnsi" w:cstheme="minorHAnsi"/>
          <w:bCs/>
          <w:sz w:val="22"/>
          <w:szCs w:val="22"/>
        </w:rPr>
      </w:pPr>
      <w:r>
        <w:rPr>
          <w:rFonts w:eastAsia="Calibri" w:asciiTheme="minorHAnsi" w:hAnsiTheme="minorHAnsi" w:cstheme="minorHAnsi"/>
          <w:bCs/>
          <w:sz w:val="22"/>
          <w:szCs w:val="22"/>
        </w:rPr>
        <w:t>mr. Miloš Vučelić</w:t>
      </w:r>
    </w:p>
    <w:p w14:paraId="5BC6CAA4">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3C25BC95">
      <w:pPr>
        <w:tabs>
          <w:tab w:val="left" w:pos="3290"/>
        </w:tabs>
        <w:ind w:firstLine="1134"/>
        <w:jc w:val="center"/>
        <w:rPr>
          <w:rFonts w:asciiTheme="minorHAnsi" w:hAnsiTheme="minorHAnsi" w:cstheme="minorHAnsi"/>
          <w:bCs/>
          <w:color w:val="000000"/>
          <w:sz w:val="18"/>
          <w:szCs w:val="18"/>
        </w:rPr>
      </w:pPr>
      <w:r>
        <w:rPr>
          <w:rFonts w:asciiTheme="minorHAnsi" w:hAnsiTheme="minorHAnsi" w:cstheme="minorHAnsi"/>
          <w:bCs/>
          <w:color w:val="000000"/>
          <w:sz w:val="18"/>
          <w:szCs w:val="18"/>
          <w:lang w:val="sr-Latn-ME"/>
        </w:rPr>
        <w:t xml:space="preserve">                                                                                                                           </w:t>
      </w:r>
      <w:r>
        <w:rPr>
          <w:rFonts w:asciiTheme="minorHAnsi" w:hAnsiTheme="minorHAnsi" w:cstheme="minorHAnsi"/>
          <w:bCs/>
          <w:i/>
          <w:iCs/>
          <w:color w:val="000000"/>
          <w:sz w:val="18"/>
          <w:szCs w:val="18"/>
        </w:rPr>
        <w:t xml:space="preserve">                           s.r.</w:t>
      </w:r>
    </w:p>
    <w:p w14:paraId="5D6B9AF8">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0424FA95">
      <w:pPr>
        <w:tabs>
          <w:tab w:val="left" w:pos="3290"/>
        </w:tabs>
        <w:wordWrap w:val="0"/>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 xml:space="preserve">Aleksandra Popović,dipl.menag. </w:t>
      </w:r>
    </w:p>
    <w:p w14:paraId="19ADDB7B">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w:t>
      </w:r>
    </w:p>
    <w:p w14:paraId="3DC9BDBF">
      <w:pPr>
        <w:ind w:left="6372"/>
        <w:jc w:val="center"/>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 xml:space="preserve">     </w:t>
      </w:r>
      <w:r>
        <w:rPr>
          <w:rFonts w:asciiTheme="minorHAnsi" w:hAnsiTheme="minorHAnsi" w:cstheme="minorHAnsi"/>
          <w:bCs/>
          <w:i/>
          <w:iCs/>
          <w:color w:val="000000"/>
          <w:sz w:val="18"/>
          <w:szCs w:val="18"/>
          <w:lang w:val="sr-Latn-ME"/>
        </w:rPr>
        <w:t xml:space="preserve">           </w:t>
      </w:r>
      <w:r>
        <w:rPr>
          <w:rFonts w:asciiTheme="minorHAnsi" w:hAnsiTheme="minorHAnsi" w:cstheme="minorHAnsi"/>
          <w:bCs/>
          <w:i/>
          <w:iCs/>
          <w:color w:val="000000"/>
          <w:sz w:val="18"/>
          <w:szCs w:val="18"/>
        </w:rPr>
        <w:t xml:space="preserve"> s.r.</w:t>
      </w:r>
    </w:p>
    <w:p w14:paraId="241A718D">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Član komisije za sprovođenje postupka javne nabavke</w:t>
      </w:r>
    </w:p>
    <w:p w14:paraId="663CDB1D">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 xml:space="preserve">                                                                                                                      Bojan Popović, dipl. Ing. građ</w:t>
      </w:r>
      <w:r>
        <w:rPr>
          <w:rFonts w:asciiTheme="minorHAnsi" w:hAnsiTheme="minorHAnsi" w:cstheme="minorHAnsi"/>
          <w:bCs/>
          <w:color w:val="000000"/>
          <w:sz w:val="18"/>
          <w:szCs w:val="18"/>
          <w:lang w:val="sr-Latn-ME"/>
        </w:rPr>
        <w:t xml:space="preserve">                               </w:t>
      </w:r>
      <w:r>
        <w:rPr>
          <w:rFonts w:asciiTheme="minorHAnsi" w:hAnsiTheme="minorHAnsi" w:cstheme="minorHAnsi"/>
          <w:color w:val="000000"/>
          <w:sz w:val="22"/>
          <w:szCs w:val="22"/>
        </w:rPr>
        <w:t>________________________</w:t>
      </w:r>
    </w:p>
    <w:p w14:paraId="47AEC233">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p w14:paraId="165CF021">
      <w:pPr>
        <w:tabs>
          <w:tab w:val="left" w:pos="3290"/>
        </w:tabs>
        <w:ind w:firstLine="1134"/>
        <w:jc w:val="center"/>
        <w:rPr>
          <w:rFonts w:asciiTheme="minorHAnsi" w:hAnsiTheme="minorHAnsi" w:cstheme="minorHAnsi"/>
          <w:b/>
          <w:bCs/>
          <w:color w:val="000000"/>
          <w:sz w:val="22"/>
          <w:szCs w:val="22"/>
        </w:rPr>
      </w:pPr>
      <w:bookmarkStart w:id="17" w:name="_Hlk210293459"/>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Član komisije za sprovođenje postupka javne nabavke</w:t>
      </w:r>
    </w:p>
    <w:p w14:paraId="0674CE0D">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mr Slobodan Mandić </w:t>
      </w:r>
    </w:p>
    <w:bookmarkEnd w:id="17"/>
    <w:p w14:paraId="4A1174B5">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_______________________</w:t>
      </w:r>
    </w:p>
    <w:p w14:paraId="1AB70F22">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p w14:paraId="4A567EDE">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bCs/>
          <w:color w:val="000000"/>
          <w:sz w:val="22"/>
          <w:szCs w:val="22"/>
        </w:rPr>
        <w:t xml:space="preserve">                                                                         </w:t>
      </w:r>
      <w:bookmarkStart w:id="18" w:name="_Toc62730568"/>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734DF21F">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M rMiloš Vučelić</w:t>
      </w:r>
    </w:p>
    <w:p w14:paraId="104E898C">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6974F781">
      <w:pPr>
        <w:tabs>
          <w:tab w:val="left" w:pos="3290"/>
        </w:tabs>
        <w:ind w:firstLine="1134"/>
        <w:jc w:val="right"/>
        <w:rPr>
          <w:rFonts w:asciiTheme="minorHAnsi" w:hAnsiTheme="minorHAnsi" w:cstheme="minorHAnsi"/>
          <w:bCs/>
          <w:color w:val="000000"/>
          <w:sz w:val="22"/>
          <w:szCs w:val="22"/>
        </w:rPr>
      </w:pPr>
    </w:p>
    <w:p w14:paraId="45445CA1">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6AA26B0C">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Nada Ćetković, dipl.ecc.</w:t>
      </w:r>
    </w:p>
    <w:p w14:paraId="73F18E09">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14E2F7F1">
      <w:pPr>
        <w:tabs>
          <w:tab w:val="left" w:pos="3290"/>
        </w:tabs>
        <w:ind w:firstLine="1134"/>
        <w:jc w:val="right"/>
        <w:rPr>
          <w:rFonts w:asciiTheme="minorHAnsi" w:hAnsiTheme="minorHAnsi" w:cstheme="minorHAnsi"/>
          <w:bCs/>
          <w:color w:val="000000"/>
          <w:sz w:val="22"/>
          <w:szCs w:val="22"/>
        </w:rPr>
      </w:pPr>
    </w:p>
    <w:p w14:paraId="64C06DE2">
      <w:pPr>
        <w:tabs>
          <w:tab w:val="left" w:pos="3290"/>
        </w:tabs>
        <w:ind w:firstLine="1134"/>
        <w:jc w:val="right"/>
        <w:rPr>
          <w:rFonts w:asciiTheme="minorHAnsi" w:hAnsiTheme="minorHAnsi" w:cstheme="minorHAnsi"/>
          <w:bCs/>
          <w:color w:val="000000"/>
          <w:sz w:val="22"/>
          <w:szCs w:val="22"/>
        </w:rPr>
      </w:pPr>
    </w:p>
    <w:p w14:paraId="129D9E73">
      <w:pPr>
        <w:rPr>
          <w:rFonts w:asciiTheme="minorHAnsi" w:hAnsiTheme="minorHAnsi" w:cstheme="minorHAnsi"/>
          <w:b/>
          <w:sz w:val="22"/>
          <w:szCs w:val="22"/>
        </w:rPr>
      </w:pPr>
      <w:r>
        <w:rPr>
          <w:rFonts w:asciiTheme="minorHAnsi" w:hAnsiTheme="minorHAnsi" w:cstheme="minorHAnsi"/>
          <w:b/>
          <w:sz w:val="22"/>
          <w:szCs w:val="22"/>
        </w:rPr>
        <w:br w:type="page"/>
      </w:r>
    </w:p>
    <w:p w14:paraId="36066B92">
      <w:pPr>
        <w:tabs>
          <w:tab w:val="left" w:pos="3290"/>
        </w:tabs>
        <w:ind w:firstLine="1134"/>
        <w:jc w:val="center"/>
        <w:rPr>
          <w:rFonts w:asciiTheme="minorHAnsi" w:hAnsiTheme="minorHAnsi" w:cstheme="minorHAnsi"/>
          <w:b/>
          <w:iCs/>
          <w:sz w:val="22"/>
          <w:szCs w:val="22"/>
        </w:rPr>
      </w:pPr>
      <w:r>
        <w:rPr>
          <w:rFonts w:asciiTheme="minorHAnsi" w:hAnsiTheme="minorHAnsi" w:cstheme="minorHAnsi"/>
          <w:b/>
          <w:sz w:val="22"/>
          <w:szCs w:val="22"/>
        </w:rPr>
        <w:t>UPUTSTVO O PRAVNOM SREDSTVU</w:t>
      </w:r>
      <w:bookmarkEnd w:id="18"/>
    </w:p>
    <w:p w14:paraId="2F5987AC">
      <w:pPr>
        <w:tabs>
          <w:tab w:val="left" w:pos="5760"/>
        </w:tabs>
        <w:jc w:val="center"/>
        <w:rPr>
          <w:rFonts w:asciiTheme="minorHAnsi" w:hAnsiTheme="minorHAnsi" w:cstheme="minorHAnsi"/>
          <w:color w:val="000000"/>
          <w:sz w:val="22"/>
          <w:szCs w:val="22"/>
        </w:rPr>
      </w:pPr>
    </w:p>
    <w:p w14:paraId="18B69DD7">
      <w:pPr>
        <w:tabs>
          <w:tab w:val="left" w:pos="5760"/>
        </w:tabs>
        <w:jc w:val="both"/>
        <w:rPr>
          <w:rFonts w:asciiTheme="minorHAnsi" w:hAnsiTheme="minorHAnsi" w:cstheme="minorHAnsi"/>
          <w:color w:val="000000"/>
          <w:sz w:val="22"/>
          <w:szCs w:val="22"/>
        </w:rPr>
      </w:pPr>
      <w:r>
        <w:rPr>
          <w:rFonts w:asciiTheme="minorHAnsi" w:hAnsiTheme="minorHAnsi" w:cstheme="minorHAnsi"/>
          <w:color w:val="000000"/>
          <w:sz w:val="22"/>
          <w:szCs w:val="22"/>
          <w:lang w:val="sr-Latn-ME"/>
        </w:rPr>
        <w:t>Privredni subjekat može da izjavi žalbu protiv ove tenderske dokumentacije Komisiji za zaštitu prava</w:t>
      </w:r>
      <w:r>
        <w:rPr>
          <w:rFonts w:asciiTheme="minorHAnsi" w:hAnsiTheme="minorHAnsi" w:cstheme="minorHAnsi"/>
          <w:color w:val="000000"/>
          <w:sz w:val="22"/>
          <w:szCs w:val="22"/>
        </w:rPr>
        <w:t>:</w:t>
      </w:r>
    </w:p>
    <w:p w14:paraId="30D1F81B">
      <w:pPr>
        <w:pStyle w:val="10"/>
        <w:ind w:left="567" w:hanging="283"/>
        <w:rPr>
          <w:rFonts w:asciiTheme="minorHAnsi" w:hAnsiTheme="minorHAnsi" w:cstheme="minorHAnsi"/>
        </w:rPr>
      </w:pPr>
      <w:r>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0227E3BA">
      <w:pPr>
        <w:pStyle w:val="10"/>
        <w:ind w:left="567" w:hanging="283"/>
        <w:rPr>
          <w:rFonts w:asciiTheme="minorHAnsi" w:hAnsiTheme="minorHAnsi" w:cstheme="minorHAnsi"/>
        </w:rPr>
      </w:pPr>
      <w:r>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4F5807B9">
      <w:pPr>
        <w:pStyle w:val="10"/>
        <w:ind w:left="567" w:hanging="283"/>
        <w:rPr>
          <w:rFonts w:asciiTheme="minorHAnsi" w:hAnsiTheme="minorHAnsi" w:cstheme="minorHAnsi"/>
        </w:rPr>
      </w:pPr>
      <w:r>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7F2D240A">
      <w:pPr>
        <w:tabs>
          <w:tab w:val="left" w:pos="5760"/>
        </w:tabs>
        <w:jc w:val="both"/>
        <w:rPr>
          <w:rFonts w:asciiTheme="minorHAnsi" w:hAnsiTheme="minorHAnsi" w:cstheme="minorHAnsi"/>
          <w:color w:val="000000"/>
          <w:sz w:val="22"/>
          <w:szCs w:val="22"/>
          <w:lang w:val="sr-Latn-ME"/>
        </w:rPr>
      </w:pPr>
    </w:p>
    <w:p w14:paraId="01CC90B1">
      <w:pPr>
        <w:autoSpaceDE w:val="0"/>
        <w:autoSpaceDN w:val="0"/>
        <w:adjustRightInd w:val="0"/>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Žalba se izjavljuje preko naručioca neposredno putem ESJN-a. Žalba koja nije podnesena na naprijed predviđeni način biće odbijena kao nedozvoljena.</w:t>
      </w:r>
    </w:p>
    <w:p w14:paraId="1FD78FEC">
      <w:pPr>
        <w:autoSpaceDE w:val="0"/>
        <w:autoSpaceDN w:val="0"/>
        <w:adjustRightInd w:val="0"/>
        <w:ind w:firstLine="567"/>
        <w:jc w:val="both"/>
        <w:rPr>
          <w:rFonts w:asciiTheme="minorHAnsi" w:hAnsiTheme="minorHAnsi" w:cstheme="minorHAnsi"/>
          <w:color w:val="000000"/>
          <w:sz w:val="22"/>
          <w:szCs w:val="22"/>
          <w:lang w:val="sr-Latn-ME"/>
        </w:rPr>
      </w:pPr>
    </w:p>
    <w:p w14:paraId="2BB91E5D">
      <w:pPr>
        <w:autoSpaceDE w:val="0"/>
        <w:autoSpaceDN w:val="0"/>
        <w:adjustRightInd w:val="0"/>
        <w:ind w:firstLine="567"/>
        <w:jc w:val="both"/>
        <w:rPr>
          <w:rFonts w:asciiTheme="minorHAnsi" w:hAnsiTheme="minorHAnsi" w:cstheme="minorHAnsi"/>
          <w:color w:val="000000"/>
          <w:sz w:val="22"/>
          <w:szCs w:val="22"/>
          <w:highlight w:val="yellow"/>
          <w:lang w:val="sr-Latn-ME"/>
        </w:rPr>
      </w:pPr>
      <w:r>
        <w:rPr>
          <w:rFonts w:asciiTheme="minorHAnsi" w:hAnsiTheme="minorHAnsi" w:cstheme="minorHAnsi"/>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7CEA727">
      <w:pPr>
        <w:tabs>
          <w:tab w:val="left" w:pos="5760"/>
        </w:tabs>
        <w:ind w:firstLine="567"/>
        <w:jc w:val="both"/>
        <w:rPr>
          <w:rFonts w:asciiTheme="minorHAnsi" w:hAnsiTheme="minorHAnsi" w:cstheme="minorHAnsi"/>
          <w:color w:val="000000"/>
          <w:sz w:val="22"/>
          <w:szCs w:val="22"/>
          <w:lang w:val="sr-Latn-ME"/>
        </w:rPr>
      </w:pPr>
    </w:p>
    <w:p w14:paraId="4DEF8D69">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Ukoliko je predmet nabavke podijeljen po partijama, a žalba se odnosi samo na određenu/e partiju/e, naknada se plaća u iznosu 1% od procijenjene vrijednosti javne nabavke te/tih partije/a.</w:t>
      </w:r>
    </w:p>
    <w:p w14:paraId="7A10D3ED">
      <w:pPr>
        <w:tabs>
          <w:tab w:val="left" w:pos="5760"/>
        </w:tabs>
        <w:ind w:firstLine="567"/>
        <w:jc w:val="both"/>
        <w:rPr>
          <w:rFonts w:asciiTheme="minorHAnsi" w:hAnsiTheme="minorHAnsi" w:cstheme="minorHAnsi"/>
          <w:color w:val="000000"/>
          <w:sz w:val="22"/>
          <w:szCs w:val="22"/>
          <w:lang w:val="sr-Latn-ME"/>
        </w:rPr>
      </w:pPr>
    </w:p>
    <w:p w14:paraId="729F22AE">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Theme="minorHAnsi" w:hAnsiTheme="minorHAnsi" w:cstheme="minorHAnsi"/>
          <w:sz w:val="22"/>
          <w:szCs w:val="22"/>
          <w:lang w:val="sr-Latn-ME"/>
        </w:rPr>
        <w:t>http://www.kontrola-nabavki.me/</w:t>
      </w:r>
      <w:r>
        <w:rPr>
          <w:rStyle w:val="6"/>
          <w:rFonts w:asciiTheme="minorHAnsi" w:hAnsiTheme="minorHAnsi" w:cstheme="minorHAnsi"/>
          <w:sz w:val="22"/>
          <w:szCs w:val="22"/>
          <w:lang w:val="sr-Latn-ME"/>
        </w:rPr>
        <w:fldChar w:fldCharType="end"/>
      </w:r>
      <w:r>
        <w:rPr>
          <w:rFonts w:asciiTheme="minorHAnsi" w:hAnsiTheme="minorHAnsi" w:cstheme="minorHAnsi"/>
          <w:color w:val="000000"/>
          <w:sz w:val="22"/>
          <w:szCs w:val="22"/>
          <w:lang w:val="sr-Latn-ME"/>
        </w:rPr>
        <w:t>.“.</w:t>
      </w:r>
    </w:p>
    <w:p w14:paraId="5E026984">
      <w:pPr>
        <w:rPr>
          <w:rFonts w:asciiTheme="minorHAnsi" w:hAnsiTheme="minorHAnsi" w:cstheme="minorHAnsi"/>
          <w:sz w:val="22"/>
          <w:szCs w:val="22"/>
        </w:rPr>
      </w:pPr>
    </w:p>
    <w:sectPr>
      <w:pgSz w:w="12240" w:h="15840"/>
      <w:pgMar w:top="1417" w:right="983"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221EB5D">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3A4F0662">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4B4AEE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22A68A78">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6A1ADA0F">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68A9408F"/>
    <w:p w14:paraId="232C61B2">
      <w:pPr>
        <w:autoSpaceDE w:val="0"/>
        <w:autoSpaceDN w:val="0"/>
        <w:adjustRightInd w:val="0"/>
        <w:contextualSpacing/>
        <w:jc w:val="both"/>
        <w:rPr>
          <w:rFonts w:ascii="Arial" w:hAnsi="Arial" w:cs="Arial"/>
          <w:sz w:val="14"/>
          <w:szCs w:val="16"/>
        </w:rPr>
      </w:pPr>
    </w:p>
  </w:footnote>
  <w:footnote w:id="6">
    <w:p w14:paraId="401EACCE"/>
    <w:p w14:paraId="78ACA0E2">
      <w:pPr>
        <w:pStyle w:val="5"/>
        <w:contextualSpacing/>
        <w:rPr>
          <w:rFonts w:ascii="Arial" w:hAnsi="Arial" w:cs="Arial"/>
          <w:sz w:val="16"/>
          <w:szCs w:val="16"/>
        </w:rPr>
      </w:pPr>
    </w:p>
  </w:footnote>
  <w:footnote w:id="7">
    <w:p w14:paraId="11A4F949">
      <w:pPr>
        <w:autoSpaceDE w:val="0"/>
        <w:autoSpaceDN w:val="0"/>
        <w:adjustRightInd w:val="0"/>
        <w:contextualSpacing/>
        <w:jc w:val="both"/>
        <w:rPr>
          <w:rFonts w:ascii="Arial" w:hAnsi="Arial" w:cs="Arial"/>
          <w:sz w:val="14"/>
          <w:szCs w:val="16"/>
        </w:rPr>
      </w:pPr>
      <w:r>
        <w:rPr>
          <w:rFonts w:ascii="Arial" w:hAnsi="Arial" w:cs="Arial"/>
          <w:sz w:val="14"/>
          <w:szCs w:val="16"/>
          <w:lang w:val="sr-Latn-ME"/>
        </w:rPr>
        <w:t>9</w:t>
      </w:r>
      <w:r>
        <w:rPr>
          <w:rFonts w:ascii="Arial" w:hAnsi="Arial" w:cs="Arial"/>
          <w:sz w:val="14"/>
          <w:szCs w:val="16"/>
        </w:rPr>
        <w:t xml:space="preserve"> Naručilac je dužan da u tenderskoj dokumentaciji odredi da li su potpisnici okvirnog sporazuma dužni da ga izvršavaju</w:t>
      </w:r>
    </w:p>
    <w:p w14:paraId="00FC30AD">
      <w:pPr>
        <w:pStyle w:val="5"/>
        <w:contextualSpacing/>
        <w:rPr>
          <w:rFonts w:ascii="Arial" w:hAnsi="Arial" w:cs="Arial"/>
          <w:sz w:val="16"/>
          <w:szCs w:val="16"/>
        </w:rPr>
      </w:pPr>
      <w:r>
        <w:rPr>
          <w:rFonts w:ascii="Arial" w:hAnsi="Arial" w:cs="Arial"/>
          <w:sz w:val="14"/>
          <w:szCs w:val="16"/>
          <w:lang w:val="sr-Latn-ME"/>
        </w:rPr>
        <w:t>10</w:t>
      </w:r>
      <w:r>
        <w:rPr>
          <w:rFonts w:ascii="Arial" w:hAnsi="Arial" w:cs="Arial"/>
          <w:sz w:val="14"/>
          <w:szCs w:val="16"/>
        </w:rPr>
        <w:t>Garancija se određuje u iznosu koji ne može da bude veći od 10% vrijednosti ugovora.</w:t>
      </w:r>
    </w:p>
    <w:p w14:paraId="65E41771">
      <w:pPr>
        <w:pStyle w:val="5"/>
        <w:contextualSpacing/>
        <w:rPr>
          <w:rFonts w:ascii="Arial" w:hAnsi="Arial" w:cs="Arial"/>
          <w:sz w:val="14"/>
          <w:szCs w:val="16"/>
          <w:lang w:val="sr-Latn-ME"/>
        </w:rPr>
      </w:pPr>
      <w:r>
        <w:rPr>
          <w:rFonts w:ascii="Arial" w:hAnsi="Arial" w:cs="Arial"/>
          <w:sz w:val="14"/>
          <w:szCs w:val="16"/>
          <w:lang w:val="sr-Latn-ME"/>
        </w:rPr>
        <w:t>11Naručilac određuje jedan kriterijum za izbor najpovoljnije ponude, a ostale ponuđene opcije briše</w:t>
      </w:r>
    </w:p>
    <w:p w14:paraId="7A642589">
      <w:pPr>
        <w:pStyle w:val="5"/>
        <w:contextualSpacing/>
        <w:rPr>
          <w:rFonts w:ascii="Arial" w:hAnsi="Arial" w:cs="Arial"/>
          <w:sz w:val="16"/>
          <w:szCs w:val="16"/>
          <w:lang w:val="sr-Latn-ME"/>
        </w:rPr>
      </w:pPr>
      <w:r>
        <w:rPr>
          <w:rFonts w:ascii="Arial" w:hAnsi="Arial" w:cs="Arial"/>
          <w:sz w:val="14"/>
          <w:szCs w:val="16"/>
          <w:lang w:val="sr-Latn-ME"/>
        </w:rPr>
        <w:t>12</w:t>
      </w:r>
      <w:r>
        <w:rPr>
          <w:rFonts w:ascii="Arial" w:hAnsi="Arial" w:cs="Arial"/>
          <w:sz w:val="14"/>
          <w:szCs w:val="16"/>
        </w:rPr>
        <w:t xml:space="preserve"> Ukoliko je predvi</w:t>
      </w:r>
      <w:r>
        <w:rPr>
          <w:rFonts w:ascii="Arial" w:hAnsi="Arial" w:cs="Arial"/>
          <w:sz w:val="14"/>
          <w:szCs w:val="16"/>
          <w:lang w:val="sr-Latn-ME"/>
        </w:rPr>
        <w:t>đeno podnošenje ponude sa varijanama opisati metodologiju vrednovanja ponuda, ukoliko nije brisati dio</w:t>
      </w:r>
    </w:p>
    <w:p w14:paraId="6F00FC1E">
      <w:pPr>
        <w:pStyle w:val="5"/>
        <w:contextualSpacing/>
        <w:rPr>
          <w:rFonts w:ascii="Arial" w:hAnsi="Arial" w:cs="Arial"/>
          <w:sz w:val="14"/>
          <w:szCs w:val="16"/>
        </w:rPr>
      </w:pPr>
    </w:p>
  </w:footnote>
  <w:footnote w:id="8">
    <w:p w14:paraId="13D4F4C6">
      <w:pPr>
        <w:pStyle w:val="5"/>
        <w:jc w:val="both"/>
        <w:rPr>
          <w:rFonts w:ascii="Arial" w:hAnsi="Arial" w:cs="Arial"/>
          <w:sz w:val="14"/>
          <w:szCs w:val="14"/>
        </w:rPr>
      </w:pPr>
      <w:r>
        <w:rPr>
          <w:rFonts w:ascii="Arial" w:hAnsi="Arial" w:cs="Arial"/>
          <w:sz w:val="14"/>
          <w:szCs w:val="14"/>
          <w:lang w:val="sr-Latn-ME"/>
        </w:rPr>
        <w:t>13</w:t>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6BBF1CBB">
      <w:pPr>
        <w:jc w:val="both"/>
        <w:rPr>
          <w:rFonts w:ascii="Arial" w:hAnsi="Arial" w:cs="Arial"/>
          <w:color w:val="000000"/>
          <w:sz w:val="16"/>
          <w:szCs w:val="16"/>
        </w:rPr>
      </w:pPr>
      <w:r>
        <w:rPr>
          <w:rFonts w:ascii="Arial" w:hAnsi="Arial" w:cs="Arial"/>
          <w:sz w:val="16"/>
          <w:szCs w:val="16"/>
          <w:lang w:val="sr-Latn-ME"/>
        </w:rPr>
        <w:t>14</w:t>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BE66A3F"/>
    <w:multiLevelType w:val="multilevel"/>
    <w:tmpl w:val="1BE66A3F"/>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6">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noPunctuationKerning w:val="1"/>
  <w:characterSpacingControl w:val="doNotCompress"/>
  <w:footnotePr>
    <w:footnote w:id="20"/>
    <w:footnote w:id="2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27393"/>
    <w:rsid w:val="0009495A"/>
    <w:rsid w:val="00162E85"/>
    <w:rsid w:val="0019785C"/>
    <w:rsid w:val="001B03CB"/>
    <w:rsid w:val="001E509A"/>
    <w:rsid w:val="00265BDA"/>
    <w:rsid w:val="00272BAE"/>
    <w:rsid w:val="002A32DF"/>
    <w:rsid w:val="002A3967"/>
    <w:rsid w:val="002D1061"/>
    <w:rsid w:val="002E7226"/>
    <w:rsid w:val="002F1280"/>
    <w:rsid w:val="00326DA4"/>
    <w:rsid w:val="0033602A"/>
    <w:rsid w:val="003568BE"/>
    <w:rsid w:val="0036767D"/>
    <w:rsid w:val="00397969"/>
    <w:rsid w:val="003B021D"/>
    <w:rsid w:val="003B2A30"/>
    <w:rsid w:val="003F18CB"/>
    <w:rsid w:val="0044525F"/>
    <w:rsid w:val="0048188E"/>
    <w:rsid w:val="004C696D"/>
    <w:rsid w:val="00511566"/>
    <w:rsid w:val="00550EDD"/>
    <w:rsid w:val="005748DE"/>
    <w:rsid w:val="00584052"/>
    <w:rsid w:val="005E7599"/>
    <w:rsid w:val="005F2EC6"/>
    <w:rsid w:val="00604464"/>
    <w:rsid w:val="006B7A37"/>
    <w:rsid w:val="006C7C6E"/>
    <w:rsid w:val="006D0050"/>
    <w:rsid w:val="007155ED"/>
    <w:rsid w:val="00786A35"/>
    <w:rsid w:val="007E12E6"/>
    <w:rsid w:val="00811EFB"/>
    <w:rsid w:val="008310B4"/>
    <w:rsid w:val="008329A7"/>
    <w:rsid w:val="0086735B"/>
    <w:rsid w:val="00895CDE"/>
    <w:rsid w:val="008E4018"/>
    <w:rsid w:val="008F5337"/>
    <w:rsid w:val="00904151"/>
    <w:rsid w:val="009071B8"/>
    <w:rsid w:val="00912BBF"/>
    <w:rsid w:val="00916679"/>
    <w:rsid w:val="00964F08"/>
    <w:rsid w:val="00973995"/>
    <w:rsid w:val="009814AD"/>
    <w:rsid w:val="00987277"/>
    <w:rsid w:val="0099549A"/>
    <w:rsid w:val="009A6C0B"/>
    <w:rsid w:val="009D4B49"/>
    <w:rsid w:val="00A75A6F"/>
    <w:rsid w:val="00A816D6"/>
    <w:rsid w:val="00AC1C0B"/>
    <w:rsid w:val="00AE4141"/>
    <w:rsid w:val="00B63B44"/>
    <w:rsid w:val="00B733C4"/>
    <w:rsid w:val="00B776E9"/>
    <w:rsid w:val="00BB2F09"/>
    <w:rsid w:val="00BC12A6"/>
    <w:rsid w:val="00BC60B2"/>
    <w:rsid w:val="00BD20F6"/>
    <w:rsid w:val="00BD338C"/>
    <w:rsid w:val="00C33D93"/>
    <w:rsid w:val="00CA4B25"/>
    <w:rsid w:val="00CB7DD4"/>
    <w:rsid w:val="00CC4C88"/>
    <w:rsid w:val="00CD764C"/>
    <w:rsid w:val="00CE379D"/>
    <w:rsid w:val="00D15BBE"/>
    <w:rsid w:val="00D262FD"/>
    <w:rsid w:val="00D26F63"/>
    <w:rsid w:val="00D313E2"/>
    <w:rsid w:val="00D707AD"/>
    <w:rsid w:val="00D77435"/>
    <w:rsid w:val="00DA4ECF"/>
    <w:rsid w:val="00DE1AC2"/>
    <w:rsid w:val="00DF3D35"/>
    <w:rsid w:val="00DF5587"/>
    <w:rsid w:val="00E03309"/>
    <w:rsid w:val="00E140E8"/>
    <w:rsid w:val="00E273A0"/>
    <w:rsid w:val="00E90F7B"/>
    <w:rsid w:val="00EF150D"/>
    <w:rsid w:val="00EF298E"/>
    <w:rsid w:val="00F109F4"/>
    <w:rsid w:val="00FA783E"/>
    <w:rsid w:val="00FA7AE8"/>
    <w:rsid w:val="00FB7A7F"/>
    <w:rsid w:val="00FF40F4"/>
    <w:rsid w:val="02007CD0"/>
    <w:rsid w:val="027345B1"/>
    <w:rsid w:val="048352B9"/>
    <w:rsid w:val="05AA1AE2"/>
    <w:rsid w:val="12D85995"/>
    <w:rsid w:val="143B675F"/>
    <w:rsid w:val="15423D1E"/>
    <w:rsid w:val="167A20EE"/>
    <w:rsid w:val="17D3768B"/>
    <w:rsid w:val="18B94051"/>
    <w:rsid w:val="193E3073"/>
    <w:rsid w:val="196D1903"/>
    <w:rsid w:val="19957D02"/>
    <w:rsid w:val="1C3A38D5"/>
    <w:rsid w:val="1C8265BE"/>
    <w:rsid w:val="1E5D44B3"/>
    <w:rsid w:val="1F7A3956"/>
    <w:rsid w:val="20C066D7"/>
    <w:rsid w:val="252E0109"/>
    <w:rsid w:val="254D0F95"/>
    <w:rsid w:val="2763300F"/>
    <w:rsid w:val="28BB61E6"/>
    <w:rsid w:val="294C6695"/>
    <w:rsid w:val="2C252000"/>
    <w:rsid w:val="2E5B5ED9"/>
    <w:rsid w:val="33B01B25"/>
    <w:rsid w:val="3887217A"/>
    <w:rsid w:val="39C81374"/>
    <w:rsid w:val="3E1B59DB"/>
    <w:rsid w:val="408C4DBB"/>
    <w:rsid w:val="464424FA"/>
    <w:rsid w:val="46470C62"/>
    <w:rsid w:val="470D1349"/>
    <w:rsid w:val="4A7443D5"/>
    <w:rsid w:val="4BF83B38"/>
    <w:rsid w:val="4E0F36BD"/>
    <w:rsid w:val="4E89289B"/>
    <w:rsid w:val="4EFA3747"/>
    <w:rsid w:val="51663E02"/>
    <w:rsid w:val="544A53F9"/>
    <w:rsid w:val="54FA58A1"/>
    <w:rsid w:val="59AA1BE1"/>
    <w:rsid w:val="59FC4D7D"/>
    <w:rsid w:val="5B805EB3"/>
    <w:rsid w:val="5BAE0BE5"/>
    <w:rsid w:val="5BC83373"/>
    <w:rsid w:val="5CA16EC6"/>
    <w:rsid w:val="5E096C98"/>
    <w:rsid w:val="5F9B6E43"/>
    <w:rsid w:val="620C4C28"/>
    <w:rsid w:val="624C22DF"/>
    <w:rsid w:val="63736017"/>
    <w:rsid w:val="649A373A"/>
    <w:rsid w:val="652D67FA"/>
    <w:rsid w:val="65555FD6"/>
    <w:rsid w:val="6C010DE6"/>
    <w:rsid w:val="6C8B5528"/>
    <w:rsid w:val="6D5751D5"/>
    <w:rsid w:val="70E03CFE"/>
    <w:rsid w:val="722F557D"/>
    <w:rsid w:val="78534775"/>
    <w:rsid w:val="78815D16"/>
    <w:rsid w:val="7AD24104"/>
    <w:rsid w:val="7C18564B"/>
    <w:rsid w:val="7D30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9"/>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table" w:styleId="8">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note Text Char"/>
    <w:basedOn w:val="2"/>
    <w:link w:val="5"/>
    <w:qFormat/>
    <w:uiPriority w:val="99"/>
    <w:rPr>
      <w:rFonts w:ascii="Calibri" w:hAnsi="Calibri" w:eastAsia="Calibri" w:cs="Times New Roman"/>
      <w:sz w:val="20"/>
      <w:szCs w:val="20"/>
    </w:rPr>
  </w:style>
  <w:style w:type="paragraph" w:customStyle="1" w:styleId="10">
    <w:name w:val="T30X"/>
    <w:basedOn w:val="1"/>
    <w:qFormat/>
    <w:uiPriority w:val="99"/>
    <w:pPr>
      <w:autoSpaceDE w:val="0"/>
      <w:autoSpaceDN w:val="0"/>
      <w:adjustRightInd w:val="0"/>
      <w:spacing w:before="60" w:after="60"/>
      <w:ind w:firstLine="283"/>
      <w:jc w:val="both"/>
    </w:pPr>
    <w:rPr>
      <w:color w:val="000000"/>
      <w:sz w:val="22"/>
      <w:szCs w:val="22"/>
    </w:rPr>
  </w:style>
  <w:style w:type="paragraph" w:styleId="11">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2747</Words>
  <Characters>15663</Characters>
  <Lines>130</Lines>
  <Paragraphs>36</Paragraphs>
  <TotalTime>27</TotalTime>
  <ScaleCrop>false</ScaleCrop>
  <LinksUpToDate>false</LinksUpToDate>
  <CharactersWithSpaces>18374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2025-12-30T08:43:00Z</dcterms:created>
  <dc:creator>aleksandar.pavlicevi</dc:creator>
  <cp:lastModifiedBy>WPS_1710147653</cp:lastModifiedBy>
  <cp:lastPrinted>2025-12-30T09:05:00Z</cp:lastPrinted>
  <dcterms:modified xsi:type="dcterms:W3CDTF">2025-12-30T11:58:39Z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08996BBE425441A08B8C323BCDA5B42F_13</vt:lpwstr>
  </property>
</Properties>
</file>